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041F" w14:textId="77777777" w:rsidR="007A451F" w:rsidRDefault="007A451F" w:rsidP="007A451F">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Sample chapter:</w:t>
      </w:r>
    </w:p>
    <w:p w14:paraId="6F6BEAD3" w14:textId="3DC8A19F" w:rsidR="007A451F" w:rsidRPr="007A451F" w:rsidRDefault="007A451F" w:rsidP="007A451F">
      <w:pPr>
        <w:spacing w:line="480" w:lineRule="auto"/>
        <w:rPr>
          <w:rFonts w:ascii="Times New Roman" w:eastAsia="Times New Roman" w:hAnsi="Times New Roman" w:cs="Times New Roman"/>
          <w:sz w:val="24"/>
          <w:szCs w:val="24"/>
        </w:rPr>
      </w:pPr>
      <w:r w:rsidRPr="007A451F">
        <w:rPr>
          <w:rFonts w:ascii="Times New Roman" w:eastAsia="Times New Roman" w:hAnsi="Times New Roman" w:cs="Times New Roman"/>
          <w:sz w:val="24"/>
          <w:szCs w:val="24"/>
        </w:rPr>
        <w:t>Lee Jerome, Hans Svennevig, Hugh Starkey &amp; Sera Shortland</w:t>
      </w:r>
      <w:r w:rsidRPr="007A451F">
        <w:t xml:space="preserve"> </w:t>
      </w:r>
      <w:r w:rsidRPr="007A451F">
        <w:rPr>
          <w:rFonts w:ascii="Times New Roman" w:hAnsi="Times New Roman" w:cs="Times New Roman"/>
          <w:sz w:val="24"/>
          <w:szCs w:val="24"/>
        </w:rPr>
        <w:t>(2026)</w:t>
      </w:r>
      <w:r w:rsidRPr="007A451F">
        <w:t xml:space="preserve"> </w:t>
      </w:r>
      <w:r w:rsidRPr="007A451F">
        <w:rPr>
          <w:rFonts w:ascii="Times New Roman" w:eastAsia="Times New Roman" w:hAnsi="Times New Roman" w:cs="Times New Roman"/>
          <w:sz w:val="24"/>
          <w:szCs w:val="24"/>
        </w:rPr>
        <w:t>Chapter 3: Knowledge in citizenship education</w:t>
      </w:r>
      <w:r>
        <w:rPr>
          <w:rFonts w:ascii="Times New Roman" w:eastAsia="Times New Roman" w:hAnsi="Times New Roman" w:cs="Times New Roman"/>
          <w:sz w:val="24"/>
          <w:szCs w:val="24"/>
        </w:rPr>
        <w:t xml:space="preserve">. In </w:t>
      </w:r>
      <w:r w:rsidRPr="007A451F">
        <w:rPr>
          <w:rFonts w:ascii="Times New Roman" w:eastAsia="Times New Roman" w:hAnsi="Times New Roman" w:cs="Times New Roman"/>
          <w:sz w:val="24"/>
          <w:szCs w:val="24"/>
        </w:rPr>
        <w:t>Lee Jerome, Sera Shortland, Hugh Starkey &amp; Hans Svennevig</w:t>
      </w:r>
      <w:r>
        <w:rPr>
          <w:rFonts w:ascii="Times New Roman" w:eastAsia="Times New Roman" w:hAnsi="Times New Roman" w:cs="Times New Roman"/>
          <w:sz w:val="24"/>
          <w:szCs w:val="24"/>
        </w:rPr>
        <w:t xml:space="preserve"> (Eds.) </w:t>
      </w:r>
      <w:r w:rsidRPr="007A451F">
        <w:rPr>
          <w:rFonts w:ascii="Times New Roman" w:eastAsia="Times New Roman" w:hAnsi="Times New Roman" w:cs="Times New Roman"/>
          <w:i/>
          <w:iCs/>
          <w:sz w:val="24"/>
          <w:szCs w:val="24"/>
        </w:rPr>
        <w:t>Educating for Citizenship: Framing knowledge for teaching and learning</w:t>
      </w:r>
      <w:r>
        <w:rPr>
          <w:rFonts w:ascii="Times New Roman" w:eastAsia="Times New Roman" w:hAnsi="Times New Roman" w:cs="Times New Roman"/>
          <w:sz w:val="24"/>
          <w:szCs w:val="24"/>
        </w:rPr>
        <w:t>. London: UCL Press.</w:t>
      </w:r>
    </w:p>
    <w:p w14:paraId="3DEB67BF" w14:textId="77777777" w:rsidR="007A451F" w:rsidRDefault="007A451F" w:rsidP="007A451F">
      <w:pPr>
        <w:spacing w:line="480" w:lineRule="auto"/>
        <w:rPr>
          <w:rFonts w:ascii="Times New Roman" w:eastAsia="Times New Roman" w:hAnsi="Times New Roman" w:cs="Times New Roman"/>
          <w:b/>
          <w:bCs/>
          <w:sz w:val="24"/>
          <w:szCs w:val="24"/>
        </w:rPr>
      </w:pPr>
    </w:p>
    <w:p w14:paraId="0AF7E2F5" w14:textId="77777777" w:rsidR="007A451F" w:rsidRDefault="007A451F" w:rsidP="007A451F">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model of citizenship teachers’ professional knowledge</w:t>
      </w:r>
    </w:p>
    <w:p w14:paraId="62CA78F0"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last chapter presented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criticisms of Young’s ‘powerful knowledge’ and in this chapter we sketch an alternative approach. The model we outline here has helped us to frame our work as we collaboratively explored how practitioners draw on various forms of knowledge. The model is rooted in an appreciation of Shulman’s (1986, 1987) work and we build on his insights to illustrate our five-part typology of citizenship teachers’ professional knowledge (see figure 3.1)</w:t>
      </w:r>
    </w:p>
    <w:p w14:paraId="0C8E8846" w14:textId="77777777" w:rsidR="007A451F" w:rsidRDefault="007A451F" w:rsidP="007A451F">
      <w:pPr>
        <w:spacing w:line="480" w:lineRule="auto"/>
        <w:rPr>
          <w:rFonts w:ascii="Times New Roman" w:eastAsia="Times New Roman" w:hAnsi="Times New Roman" w:cs="Times New Roman"/>
          <w:sz w:val="24"/>
          <w:szCs w:val="24"/>
        </w:rPr>
      </w:pPr>
    </w:p>
    <w:p w14:paraId="530EAD49" w14:textId="77777777" w:rsidR="007A451F" w:rsidRDefault="007A451F" w:rsidP="007A451F">
      <w:pPr>
        <w:spacing w:line="480" w:lineRule="auto"/>
        <w:rPr>
          <w:rFonts w:ascii="Times New Roman" w:eastAsia="Times New Roman" w:hAnsi="Times New Roman" w:cs="Times New Roman"/>
          <w:sz w:val="12"/>
          <w:szCs w:val="12"/>
        </w:rPr>
      </w:pPr>
      <w:r>
        <w:rPr>
          <w:rFonts w:ascii="Times New Roman" w:eastAsia="Times New Roman" w:hAnsi="Times New Roman" w:cs="Times New Roman"/>
          <w:sz w:val="24"/>
          <w:szCs w:val="24"/>
        </w:rPr>
        <w:t xml:space="preserve">Figure 3.1: Overview of </w:t>
      </w:r>
      <w:proofErr w:type="gramStart"/>
      <w:r>
        <w:rPr>
          <w:rFonts w:ascii="Times New Roman" w:eastAsia="Times New Roman" w:hAnsi="Times New Roman" w:cs="Times New Roman"/>
          <w:sz w:val="24"/>
          <w:szCs w:val="24"/>
        </w:rPr>
        <w:t>our  model</w:t>
      </w:r>
      <w:proofErr w:type="gramEnd"/>
      <w:r>
        <w:rPr>
          <w:rFonts w:ascii="Times New Roman" w:eastAsia="Times New Roman" w:hAnsi="Times New Roman" w:cs="Times New Roman"/>
          <w:sz w:val="24"/>
          <w:szCs w:val="24"/>
        </w:rPr>
        <w:t xml:space="preserve"> of Citizenship teachers’ professional knowledge</w:t>
      </w:r>
    </w:p>
    <w:p w14:paraId="751AAAC6"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08ABE75" wp14:editId="35B95BC2">
            <wp:extent cx="5734050" cy="2853333"/>
            <wp:effectExtent l="0" t="0" r="0" b="0"/>
            <wp:docPr id="207750407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
                    <a:srcRect t="11633"/>
                    <a:stretch>
                      <a:fillRect/>
                    </a:stretch>
                  </pic:blipFill>
                  <pic:spPr>
                    <a:xfrm>
                      <a:off x="0" y="0"/>
                      <a:ext cx="5734050" cy="2853333"/>
                    </a:xfrm>
                    <a:prstGeom prst="rect">
                      <a:avLst/>
                    </a:prstGeom>
                    <a:ln/>
                  </pic:spPr>
                </pic:pic>
              </a:graphicData>
            </a:graphic>
          </wp:inline>
        </w:drawing>
      </w:r>
    </w:p>
    <w:p w14:paraId="1B16654B" w14:textId="77777777" w:rsidR="007A451F" w:rsidRDefault="007A451F" w:rsidP="007A451F">
      <w:pPr>
        <w:spacing w:line="480" w:lineRule="auto"/>
        <w:rPr>
          <w:rFonts w:ascii="Times New Roman" w:eastAsia="Times New Roman" w:hAnsi="Times New Roman" w:cs="Times New Roman"/>
          <w:sz w:val="24"/>
          <w:szCs w:val="24"/>
        </w:rPr>
      </w:pPr>
    </w:p>
    <w:p w14:paraId="4538AF5C"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each of the following sections we briefly define each category and illustrate it with reference to citizenship teachers’ practices. As well as analysing the types of knowledge underpinning teachers’ practice, Shulman also argued that case studies were an essential way to capture the nuance of teachers’ decision-making in specific contexts, to understand how these forms of knowledge are mobilised (Gudmundsdottir &amp; Shulman, 1987; Shulman, 1987). In the subsequent chapters we refer to this model as we explore detailed case studies of practice. </w:t>
      </w:r>
    </w:p>
    <w:p w14:paraId="2AAC3058" w14:textId="77777777" w:rsidR="007A451F" w:rsidRDefault="007A451F" w:rsidP="007A451F">
      <w:pPr>
        <w:spacing w:line="480" w:lineRule="auto"/>
        <w:rPr>
          <w:rFonts w:ascii="Times New Roman" w:eastAsia="Times New Roman" w:hAnsi="Times New Roman" w:cs="Times New Roman"/>
          <w:b/>
          <w:bCs/>
          <w:i/>
          <w:iCs/>
          <w:sz w:val="24"/>
          <w:szCs w:val="24"/>
        </w:rPr>
      </w:pPr>
    </w:p>
    <w:p w14:paraId="2AC7643B" w14:textId="77777777" w:rsidR="007A451F" w:rsidRDefault="007A451F" w:rsidP="007A451F">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Substantive knowledge</w:t>
      </w:r>
    </w:p>
    <w:p w14:paraId="3E5CF11E"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Shulman (1986) made the point that teachers’ knowledge goes beyond facts to include </w:t>
      </w:r>
      <w:r>
        <w:rPr>
          <w:rFonts w:ascii="Times New Roman" w:eastAsia="Times New Roman" w:hAnsi="Times New Roman" w:cs="Times New Roman"/>
          <w:i/>
          <w:iCs/>
          <w:sz w:val="24"/>
          <w:szCs w:val="24"/>
        </w:rPr>
        <w:t>substantive</w:t>
      </w:r>
      <w:r>
        <w:rPr>
          <w:rFonts w:ascii="Times New Roman" w:eastAsia="Times New Roman" w:hAnsi="Times New Roman" w:cs="Times New Roman"/>
          <w:sz w:val="24"/>
          <w:szCs w:val="24"/>
        </w:rPr>
        <w:t xml:space="preserve"> and </w:t>
      </w:r>
      <w:r>
        <w:rPr>
          <w:rFonts w:ascii="Times New Roman" w:eastAsia="Times New Roman" w:hAnsi="Times New Roman" w:cs="Times New Roman"/>
          <w:i/>
          <w:iCs/>
          <w:sz w:val="24"/>
          <w:szCs w:val="24"/>
        </w:rPr>
        <w:t>syntactic</w:t>
      </w:r>
      <w:r>
        <w:rPr>
          <w:rFonts w:ascii="Times New Roman" w:eastAsia="Times New Roman" w:hAnsi="Times New Roman" w:cs="Times New Roman"/>
          <w:sz w:val="24"/>
          <w:szCs w:val="24"/>
        </w:rPr>
        <w:t xml:space="preserve"> knowledge that account for how the discipline is organised and how truth or validity are established within each discipline. He argued that ‘the teacher need not only know that something is so; the teacher must further understand why it is so.’ (p.9). In citizenship education we have found it useful to refer to this as three dimensions of knowledge (figure 3.2).</w:t>
      </w:r>
    </w:p>
    <w:p w14:paraId="0E9AE2E5" w14:textId="77777777" w:rsidR="007A451F" w:rsidRDefault="007A451F" w:rsidP="007A451F">
      <w:pPr>
        <w:spacing w:line="480" w:lineRule="auto"/>
        <w:rPr>
          <w:rFonts w:ascii="Times New Roman" w:eastAsia="Times New Roman" w:hAnsi="Times New Roman" w:cs="Times New Roman"/>
          <w:sz w:val="24"/>
          <w:szCs w:val="24"/>
        </w:rPr>
      </w:pPr>
    </w:p>
    <w:p w14:paraId="66FF1A3F"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3.2: three-dimensional knowledge</w:t>
      </w:r>
    </w:p>
    <w:p w14:paraId="639EBF6C" w14:textId="77777777" w:rsidR="007A451F" w:rsidRDefault="007A451F" w:rsidP="007A451F">
      <w:pPr>
        <w:spacing w:line="480" w:lineRule="auto"/>
        <w:rPr>
          <w:rFonts w:ascii="Times New Roman" w:eastAsia="Times New Roman" w:hAnsi="Times New Roman" w:cs="Times New Roman"/>
          <w:sz w:val="24"/>
          <w:szCs w:val="24"/>
        </w:rPr>
      </w:pPr>
    </w:p>
    <w:p w14:paraId="5C227896"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2301DF5F" wp14:editId="19E2F457">
            <wp:extent cx="5731200" cy="3327400"/>
            <wp:effectExtent l="0" t="0" r="0" b="0"/>
            <wp:docPr id="207750407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731200" cy="3327400"/>
                    </a:xfrm>
                    <a:prstGeom prst="rect">
                      <a:avLst/>
                    </a:prstGeom>
                    <a:ln/>
                  </pic:spPr>
                </pic:pic>
              </a:graphicData>
            </a:graphic>
          </wp:inline>
        </w:drawing>
      </w:r>
    </w:p>
    <w:p w14:paraId="3178F0FA" w14:textId="77777777" w:rsidR="007A451F" w:rsidRDefault="007A451F" w:rsidP="007A451F">
      <w:pPr>
        <w:spacing w:line="480" w:lineRule="auto"/>
        <w:rPr>
          <w:rFonts w:ascii="Times New Roman" w:eastAsia="Times New Roman" w:hAnsi="Times New Roman" w:cs="Times New Roman"/>
          <w:sz w:val="24"/>
          <w:szCs w:val="24"/>
        </w:rPr>
      </w:pPr>
    </w:p>
    <w:p w14:paraId="07C18289"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figure 3.2 we can think of the most accessible type of substantive knowledge as referring to the factual knowledge we want to teach. This may well involve learning about democratic institutions, roles and processes, for example, how does one stand for election? Who stands and who gets elected? How do voting trends change over time? These are all answerable to some extent by relatively straightforward information.</w:t>
      </w:r>
    </w:p>
    <w:p w14:paraId="25B981D6" w14:textId="77777777" w:rsidR="007A451F" w:rsidRDefault="007A451F" w:rsidP="007A451F">
      <w:pPr>
        <w:spacing w:line="480" w:lineRule="auto"/>
        <w:rPr>
          <w:rFonts w:ascii="Times New Roman" w:eastAsia="Times New Roman" w:hAnsi="Times New Roman" w:cs="Times New Roman"/>
          <w:sz w:val="24"/>
          <w:szCs w:val="24"/>
        </w:rPr>
      </w:pPr>
    </w:p>
    <w:p w14:paraId="58B6ADD5"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dimension refers to Shulman’s substantive structures and deals with the core concepts that underpin and structure the subject. Here one might consider the concepts of citizen, state, power, democracy etc. These mark out the distinctive academic territory of the subject and, importantly, it is these concepts which are likely to enable students to perceive the usefulness of the subject. These ideas provide a flexible framework to enable some form of spiral curriculum and map progression in understanding. Following Bruner’s (1960/1977) argument, as students deepen their understanding of these concepts and come to understand how they relate to multiple situations, they are more likely to see how they </w:t>
      </w:r>
      <w:r>
        <w:rPr>
          <w:rFonts w:ascii="Times New Roman" w:eastAsia="Times New Roman" w:hAnsi="Times New Roman" w:cs="Times New Roman"/>
          <w:sz w:val="24"/>
          <w:szCs w:val="24"/>
        </w:rPr>
        <w:lastRenderedPageBreak/>
        <w:t xml:space="preserve">provide a lens through which one can make sense of the world as a citizen and make political connections between apparently unrelated issues. This is of more general use than mere information as it helps us to read the world in different ways (Jerome, 2017). Clarity over the conceptual framework underlying our knowledge is also essential if the teacher wants to provide an ‘advance organiser’ to help students make sense of material as they encounter it,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build accurate political schemas (Ausubel, 1963; Ausubel et al, 1978; Entwistle, 1988).</w:t>
      </w:r>
    </w:p>
    <w:p w14:paraId="73379BF8" w14:textId="77777777" w:rsidR="007A451F" w:rsidRDefault="007A451F" w:rsidP="007A451F">
      <w:pPr>
        <w:spacing w:line="480" w:lineRule="auto"/>
        <w:rPr>
          <w:rFonts w:ascii="Times New Roman" w:eastAsia="Times New Roman" w:hAnsi="Times New Roman" w:cs="Times New Roman"/>
          <w:sz w:val="24"/>
          <w:szCs w:val="24"/>
        </w:rPr>
      </w:pPr>
    </w:p>
    <w:p w14:paraId="37675FE5"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third dimension refers to this broader sense of knowing what it is to engage with an issue through the distinctive lens of citizenship. This is related to Shulman’s notion of syntactic knowledge, which concerns the epistemic rules of the game and helps students to understand what it is to argue and think politically. It is possible to approach global warming through a scientific lens, through an historical lens, or through a citizenship lens. The questions one asks and one’s expectations of what would stand as a convincing answer, are influenced by the disciplinary lens one adopts, indeed, in relation to climate change this distinction has been crucial as climate change deniers have often sought to represent their marginal political views as scientific, precisely because scientific knowledge is seen as more objective and definitive than political opinion.</w:t>
      </w:r>
    </w:p>
    <w:p w14:paraId="13D6B620" w14:textId="77777777" w:rsidR="007A451F" w:rsidRDefault="007A451F" w:rsidP="007A451F">
      <w:pPr>
        <w:spacing w:line="480" w:lineRule="auto"/>
        <w:rPr>
          <w:rFonts w:ascii="Times New Roman" w:eastAsia="Times New Roman" w:hAnsi="Times New Roman" w:cs="Times New Roman"/>
          <w:sz w:val="24"/>
          <w:szCs w:val="24"/>
        </w:rPr>
      </w:pPr>
    </w:p>
    <w:p w14:paraId="2F15AC9D"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We return to this third dimension in the following section but here we want to note that this interest in organising concepts that provide structure to the curriculum is a common feature of curriculum planning in citizenship. When citizenship was introduced into the national curriculum in England, Douglas wrote an early contribution to the professional literature arguing that:</w:t>
      </w:r>
    </w:p>
    <w:p w14:paraId="6D8BC558" w14:textId="77777777" w:rsidR="007A451F" w:rsidRDefault="007A451F" w:rsidP="007A451F">
      <w:pPr>
        <w:spacing w:line="480" w:lineRule="auto"/>
        <w:ind w:left="567" w:right="5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Concepts provide students with the keys to unlock doors to more complex and critical thinking about political ideas… and institutions (Douglas, 2002).</w:t>
      </w:r>
    </w:p>
    <w:p w14:paraId="261EB7A8"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in the context of the USA, Hess (2009) argues that when teachers teach about specific controversial case studies, they are </w:t>
      </w:r>
      <w:proofErr w:type="gramStart"/>
      <w:r>
        <w:rPr>
          <w:rFonts w:ascii="Times New Roman" w:eastAsia="Times New Roman" w:hAnsi="Times New Roman" w:cs="Times New Roman"/>
          <w:sz w:val="24"/>
          <w:szCs w:val="24"/>
        </w:rPr>
        <w:t>actually aiming</w:t>
      </w:r>
      <w:proofErr w:type="gramEnd"/>
      <w:r>
        <w:rPr>
          <w:rFonts w:ascii="Times New Roman" w:eastAsia="Times New Roman" w:hAnsi="Times New Roman" w:cs="Times New Roman"/>
          <w:sz w:val="24"/>
          <w:szCs w:val="24"/>
        </w:rPr>
        <w:t xml:space="preserve"> (or should be) to teach through the specifics to the ‘perennial’ issues that make them controversial. The concepts unlock the complexity of each case, and they provide students with a powerful idea they can use in their own lives.</w:t>
      </w:r>
    </w:p>
    <w:p w14:paraId="03787716" w14:textId="77777777" w:rsidR="007A451F" w:rsidRDefault="007A451F" w:rsidP="007A451F">
      <w:pPr>
        <w:spacing w:line="480" w:lineRule="auto"/>
        <w:rPr>
          <w:rFonts w:ascii="Times New Roman" w:eastAsia="Times New Roman" w:hAnsi="Times New Roman" w:cs="Times New Roman"/>
          <w:sz w:val="24"/>
          <w:szCs w:val="24"/>
        </w:rPr>
      </w:pPr>
    </w:p>
    <w:p w14:paraId="3F7D2C4F" w14:textId="77777777" w:rsidR="007A451F" w:rsidRDefault="007A451F" w:rsidP="007A451F">
      <w:pPr>
        <w:spacing w:line="480" w:lineRule="auto"/>
        <w:ind w:firstLine="720"/>
        <w:rPr>
          <w:rFonts w:ascii="Times New Roman" w:eastAsia="Times New Roman" w:hAnsi="Times New Roman" w:cs="Times New Roman"/>
          <w:sz w:val="24"/>
          <w:szCs w:val="24"/>
        </w:rPr>
      </w:pPr>
      <w:bookmarkStart w:id="0" w:name="_heading=h.4f1rla55viqa" w:colFirst="0" w:colLast="0"/>
      <w:bookmarkEnd w:id="0"/>
      <w:r>
        <w:rPr>
          <w:rFonts w:ascii="Times New Roman" w:eastAsia="Times New Roman" w:hAnsi="Times New Roman" w:cs="Times New Roman"/>
          <w:sz w:val="24"/>
          <w:szCs w:val="24"/>
        </w:rPr>
        <w:t xml:space="preserve">On one view, this is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all other school subjects, where such concepts provide a structure for organising the curriculum and a mechanism for assessing progression (Jerome &amp; Lalor, 2020). However, as Brant et al. (2015) have argued, what constitutes that underlying framework is subject to much discussion and debate and is likely to be more contested than in subjects such as maths or science (where much of the educational research takes place). Valencia, Parker &amp; Lo (2023) make this observation in their report of a curriculum planning project:</w:t>
      </w:r>
    </w:p>
    <w:p w14:paraId="401997B5" w14:textId="77777777" w:rsidR="007A451F" w:rsidRDefault="007A451F" w:rsidP="007A451F">
      <w:pPr>
        <w:spacing w:line="480" w:lineRule="auto"/>
        <w:ind w:left="567" w:right="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Civic education is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other subjects in its specialization and boundedness. Just as a biology course is not a chemistry course, a civics course is not a geography course. It has its disciplinary subject matter—its focal concepts, issues, and reasoning strategies. Civic education is unique among school subjects, however, because it is so thoroughly situated in the national political context. An assessment of civic knowledge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pertinent to the discipline while also pertinent to the political context (p.3).</w:t>
      </w:r>
    </w:p>
    <w:p w14:paraId="30DDDFC2" w14:textId="77777777" w:rsidR="007A451F" w:rsidRDefault="007A451F" w:rsidP="007A451F">
      <w:pPr>
        <w:spacing w:line="480" w:lineRule="auto"/>
        <w:rPr>
          <w:rFonts w:ascii="Times New Roman" w:eastAsia="Times New Roman" w:hAnsi="Times New Roman" w:cs="Times New Roman"/>
          <w:sz w:val="24"/>
          <w:szCs w:val="24"/>
        </w:rPr>
      </w:pPr>
    </w:p>
    <w:p w14:paraId="4ADDE99F" w14:textId="77777777" w:rsidR="007A451F" w:rsidRDefault="007A451F" w:rsidP="007A451F">
      <w:pPr>
        <w:spacing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Valencia, Parker &amp; Lo describe their planning of a high school government course in the USA, which includes the following substantive knowledge described as core disciplinary concepts (pp.5-6):</w:t>
      </w:r>
    </w:p>
    <w:p w14:paraId="3E5851ED"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Limited government </w:t>
      </w:r>
    </w:p>
    <w:p w14:paraId="5D4BD0C8"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Separation of powers (Federalism, three branches, checks and balances) </w:t>
      </w:r>
    </w:p>
    <w:p w14:paraId="409560C6"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Constitutionalism (rule of law, precedent) </w:t>
      </w:r>
    </w:p>
    <w:p w14:paraId="3DAE56C9"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Civil rights and liberties </w:t>
      </w:r>
    </w:p>
    <w:p w14:paraId="6444221A"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Institutions linking citizens to government (elections, interest groups, political parties, media)</w:t>
      </w:r>
    </w:p>
    <w:p w14:paraId="24DD2B6B"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can see how this works in the context of learning for citizenship in the US context, but these examples also highlight how context-bound these substantive concepts might be. This list highlights how we might need to think about the relationship between clusters of concepts in different contexts. For example, although UK teachers might also teach about the rule of law and precedent, the constitution has a very different meaning in a country that clings to the notion of an ‘unwritten constitution’ (see Select Committee on the Constitution, 2023: Ch.2). Similarly, whilst we might teach about civil rights, that term has a different connotation in the country of Martin Luther King and the Black Civil Rights Movement than it does in the UK, where we might be more likely to talk about civil rights as part of the broader family of political and social rights (following Marshall’s (1950) analysis) and to place that within a broader framing of human rights (related to international law and the Human Rights Act). Even </w:t>
      </w:r>
      <w:proofErr w:type="gramStart"/>
      <w:r>
        <w:rPr>
          <w:rFonts w:ascii="Times New Roman" w:eastAsia="Times New Roman" w:hAnsi="Times New Roman" w:cs="Times New Roman"/>
          <w:sz w:val="24"/>
          <w:szCs w:val="24"/>
        </w:rPr>
        <w:t>in the area of</w:t>
      </w:r>
      <w:proofErr w:type="gramEnd"/>
      <w:r>
        <w:rPr>
          <w:rFonts w:ascii="Times New Roman" w:eastAsia="Times New Roman" w:hAnsi="Times New Roman" w:cs="Times New Roman"/>
          <w:sz w:val="24"/>
          <w:szCs w:val="24"/>
        </w:rPr>
        <w:t xml:space="preserve"> human rights, which might seem relatively neutral, we should recognise that teaching in the UK, as a signatory state of the UN Convention of the Rights of the Child, is going to be different to teaching in the USA, which has not ratified the UNCRC.</w:t>
      </w:r>
    </w:p>
    <w:p w14:paraId="53D777E5" w14:textId="77777777" w:rsidR="007A451F" w:rsidRDefault="007A451F" w:rsidP="007A451F">
      <w:pPr>
        <w:spacing w:line="480" w:lineRule="auto"/>
        <w:rPr>
          <w:rFonts w:ascii="Times New Roman" w:eastAsia="Times New Roman" w:hAnsi="Times New Roman" w:cs="Times New Roman"/>
          <w:sz w:val="24"/>
          <w:szCs w:val="24"/>
        </w:rPr>
      </w:pPr>
    </w:p>
    <w:p w14:paraId="0C1F65BC" w14:textId="77777777" w:rsidR="007A451F" w:rsidRDefault="007A451F" w:rsidP="007A451F">
      <w:pPr>
        <w:spacing w:line="48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By contrast, Banks et al. (2005), also writing in the USA, suggested an entirely different set of general concepts because they want to focus on global citizenship education rather than American citizenship:</w:t>
      </w:r>
    </w:p>
    <w:p w14:paraId="2B8E9319"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Democracy</w:t>
      </w:r>
    </w:p>
    <w:p w14:paraId="17ADE998"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Diversity</w:t>
      </w:r>
    </w:p>
    <w:p w14:paraId="05E738F3"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Globalization</w:t>
      </w:r>
    </w:p>
    <w:p w14:paraId="128075C2"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Sustainable Development</w:t>
      </w:r>
    </w:p>
    <w:p w14:paraId="65323EC8"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Empire, Imperialism, Power</w:t>
      </w:r>
    </w:p>
    <w:p w14:paraId="539F7E68"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Prejudice, Discrimination, Racism</w:t>
      </w:r>
    </w:p>
    <w:p w14:paraId="28C1505F"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Migration</w:t>
      </w:r>
    </w:p>
    <w:p w14:paraId="1B351844"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Identity/Diversity</w:t>
      </w:r>
    </w:p>
    <w:p w14:paraId="5EF0B4AE"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Multiple Perspectives</w:t>
      </w:r>
    </w:p>
    <w:p w14:paraId="53505818"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Patriotism and Cosmopolitanism</w:t>
      </w:r>
    </w:p>
    <w:p w14:paraId="4C50653D"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Interestingly, Parker, an American scholar, who has argued for a serious return to thinking about subject knowledge in citizenship and human rights education (Parker, 2018), was involved in both project teams, and yet the nature of those core disciplinary concepts seems very different. We might explain this partly by appealing to the purpose of each model – the first example is rooted in one specific curriculum project about American government, whilst the second aims to provide a more universal statement to inform the whole subject area of global citizenship. However, if we take Shulman and Bruner seriously, and indeed take Parker’s own argument for ‘core knowledge’ as a starting point, it would be useful if the overarching concepts for the subject also reappeared within individual projects. If not, it undermines the potential for a spiral curriculum (Bruner, 1960/1977), with repercussions for learning progression. </w:t>
      </w:r>
    </w:p>
    <w:p w14:paraId="4348AACE" w14:textId="77777777" w:rsidR="007A451F" w:rsidRDefault="007A451F" w:rsidP="007A451F">
      <w:pPr>
        <w:spacing w:line="480" w:lineRule="auto"/>
        <w:rPr>
          <w:rFonts w:ascii="Times New Roman" w:eastAsia="Times New Roman" w:hAnsi="Times New Roman" w:cs="Times New Roman"/>
          <w:sz w:val="24"/>
          <w:szCs w:val="24"/>
        </w:rPr>
      </w:pPr>
    </w:p>
    <w:p w14:paraId="55CD6BEA" w14:textId="77777777" w:rsidR="007A451F" w:rsidRDefault="007A451F" w:rsidP="007A451F">
      <w:pPr>
        <w:spacing w:line="480" w:lineRule="auto"/>
        <w:rPr>
          <w:rFonts w:ascii="Times New Roman" w:eastAsia="Times New Roman" w:hAnsi="Times New Roman" w:cs="Times New Roman"/>
          <w:sz w:val="24"/>
          <w:szCs w:val="24"/>
        </w:rPr>
      </w:pPr>
    </w:p>
    <w:p w14:paraId="44B1C9FF"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Such variations in models develop in part because of the authors’ purpose in producing their account and in part because of the prevailing assumptions about citizenship in each national (and sometimes regional and local) context. Jerome (2017) has undertaken a comparative review of citizenship in the curricula in the four nations of the UK and in Ireland and noted significant differences in whether concepts are specified and, if they are, differences in which ones appear, and how they are defined. In part, these national differences also reflect a more general challenge, which was raised by Beck (2013) and Dyches &amp; Boyd (2017), about the politicised nature of defining citizenship itself. Carr (1991) argued that citizenship is an example of an essentially contested subject, but at the same time insisted that:</w:t>
      </w:r>
    </w:p>
    <w:p w14:paraId="739F1B3E" w14:textId="77777777" w:rsidR="007A451F" w:rsidRDefault="007A451F" w:rsidP="007A451F">
      <w:pPr>
        <w:spacing w:line="480" w:lineRule="auto"/>
        <w:rPr>
          <w:rFonts w:ascii="Times New Roman" w:eastAsia="Times New Roman" w:hAnsi="Times New Roman" w:cs="Times New Roman"/>
          <w:sz w:val="24"/>
          <w:szCs w:val="24"/>
        </w:rPr>
      </w:pPr>
    </w:p>
    <w:p w14:paraId="39E51109"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Contested concepts always have some uncontested common core which provides an understanding of the general ideas they express and helps to clarify the substantial points of disagreement that rival and conflicting interpretations of its meaning incorporate (p.374).</w:t>
      </w:r>
    </w:p>
    <w:p w14:paraId="23CB5552"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 argued that the common core might draw on the historical development of the concept of citizenship, through Greek and Roman traditions and into Marshall’s (1950) account of the development of citizens’ civil, political and social rights. He also argued that one needs to consider competing (or at least contrasting) accounts of democratic citizenship, informed by various traditions in political theory. This hints at the importance of our next category, where we explore how citizenship knowledge is built, how it is contested, and how claims to knowledge are often bound up within specific ideological frameworks.</w:t>
      </w:r>
    </w:p>
    <w:p w14:paraId="4A94F677" w14:textId="77777777" w:rsidR="007A451F" w:rsidRDefault="007A451F" w:rsidP="007A451F">
      <w:pPr>
        <w:spacing w:line="480" w:lineRule="auto"/>
        <w:rPr>
          <w:rFonts w:ascii="Times New Roman" w:eastAsia="Times New Roman" w:hAnsi="Times New Roman" w:cs="Times New Roman"/>
          <w:sz w:val="24"/>
          <w:szCs w:val="24"/>
        </w:rPr>
      </w:pPr>
    </w:p>
    <w:p w14:paraId="4FC01E9A" w14:textId="77777777" w:rsidR="007A451F" w:rsidRDefault="007A451F" w:rsidP="007A451F">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Epistemic knowledge</w:t>
      </w:r>
    </w:p>
    <w:p w14:paraId="1862DEF4" w14:textId="77777777" w:rsidR="007A451F" w:rsidRDefault="007A451F" w:rsidP="007A451F">
      <w:pPr>
        <w:spacing w:line="480" w:lineRule="auto"/>
        <w:rPr>
          <w:rFonts w:ascii="Times New Roman" w:eastAsia="Times New Roman" w:hAnsi="Times New Roman" w:cs="Times New Roman"/>
          <w:sz w:val="24"/>
          <w:szCs w:val="24"/>
        </w:rPr>
      </w:pPr>
      <w:bookmarkStart w:id="1" w:name="_heading=h.5pzy4ojrs4y3" w:colFirst="0" w:colLast="0"/>
      <w:bookmarkEnd w:id="1"/>
      <w:r>
        <w:rPr>
          <w:rFonts w:ascii="Times New Roman" w:eastAsia="Times New Roman" w:hAnsi="Times New Roman" w:cs="Times New Roman"/>
          <w:sz w:val="24"/>
          <w:szCs w:val="24"/>
        </w:rPr>
        <w:lastRenderedPageBreak/>
        <w:t xml:space="preserve">Gardner (2007) talks about how different academic disciplines provide ‘frames’ for thinking about the world. On this view, facts are relatively inert whilst disciplines ‘constitute a distinctive way of thinking about the world’ (p. 16). He argues that education is geared towards the ‘acquisition of the appropriate disciplinary knowledge, habits of minds, and patterns of behaviour’ (p.15) to inform such distinctive intellectual frames. In </w:t>
      </w:r>
      <w:proofErr w:type="spellStart"/>
      <w:r>
        <w:rPr>
          <w:rFonts w:ascii="Times New Roman" w:eastAsia="Times New Roman" w:hAnsi="Times New Roman" w:cs="Times New Roman"/>
          <w:sz w:val="24"/>
          <w:szCs w:val="24"/>
        </w:rPr>
        <w:t>Eaglestone’s</w:t>
      </w:r>
      <w:proofErr w:type="spellEnd"/>
      <w:r>
        <w:rPr>
          <w:rFonts w:ascii="Times New Roman" w:eastAsia="Times New Roman" w:hAnsi="Times New Roman" w:cs="Times New Roman"/>
          <w:sz w:val="24"/>
          <w:szCs w:val="24"/>
        </w:rPr>
        <w:t xml:space="preserve"> (2021) critique of Michael Young he makes the additional point that the differences between school subjects, and thus the frames they offer, represent different forms of knowledge, rather than just different substantive knowledge:</w:t>
      </w:r>
    </w:p>
    <w:p w14:paraId="240FE46D" w14:textId="77777777" w:rsidR="007A451F" w:rsidRDefault="007A451F" w:rsidP="007A451F">
      <w:pPr>
        <w:spacing w:line="480" w:lineRule="auto"/>
        <w:ind w:left="567" w:right="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Whilst science is rightly concerned with universal rules (episteme) English literature is more concerned with a form of techne (using English) and phronesis (understanding specific texts in context). Whilst one proves a position in science, one argues </w:t>
      </w:r>
      <w:proofErr w:type="gramStart"/>
      <w:r>
        <w:rPr>
          <w:rFonts w:ascii="Times New Roman" w:eastAsia="Times New Roman" w:hAnsi="Times New Roman" w:cs="Times New Roman"/>
          <w:sz w:val="24"/>
          <w:szCs w:val="24"/>
        </w:rPr>
        <w:t>more or less persuasively</w:t>
      </w:r>
      <w:proofErr w:type="gramEnd"/>
      <w:r>
        <w:rPr>
          <w:rFonts w:ascii="Times New Roman" w:eastAsia="Times New Roman" w:hAnsi="Times New Roman" w:cs="Times New Roman"/>
          <w:sz w:val="24"/>
          <w:szCs w:val="24"/>
        </w:rPr>
        <w:t xml:space="preserve"> in English. Whilst scientific knowledge may be directly taught, English criticism and interpretation </w:t>
      </w:r>
      <w:proofErr w:type="gramStart"/>
      <w:r>
        <w:rPr>
          <w:rFonts w:ascii="Times New Roman" w:eastAsia="Times New Roman" w:hAnsi="Times New Roman" w:cs="Times New Roman"/>
          <w:sz w:val="24"/>
          <w:szCs w:val="24"/>
        </w:rPr>
        <w:t>has</w:t>
      </w:r>
      <w:proofErr w:type="gramEnd"/>
      <w:r>
        <w:rPr>
          <w:rFonts w:ascii="Times New Roman" w:eastAsia="Times New Roman" w:hAnsi="Times New Roman" w:cs="Times New Roman"/>
          <w:sz w:val="24"/>
          <w:szCs w:val="24"/>
        </w:rPr>
        <w:t xml:space="preserve"> to be practised.</w:t>
      </w:r>
    </w:p>
    <w:p w14:paraId="10BADC67"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his later work Shulman (2005) explored the signature pedagogies that develop within these different disciplinary communities. These distinctive pedagogic traditions (the moot court in law, problem-based learning in medicine, textual analysis in English) do not just form part of the community of practice, rather they embody some important dimension of the unique claims to knowledge offered by each discipline. In other words, the means and ends of subject pedagogy are intimately connected – how we learn in Science, English or Citizenship reflects, in part, how we might think scientifically, through literature, or as citizens.</w:t>
      </w:r>
    </w:p>
    <w:p w14:paraId="6BA614BC" w14:textId="77777777" w:rsidR="007A451F" w:rsidRDefault="007A451F" w:rsidP="007A451F">
      <w:pPr>
        <w:spacing w:line="480" w:lineRule="auto"/>
        <w:rPr>
          <w:rFonts w:ascii="Times New Roman" w:eastAsia="Times New Roman" w:hAnsi="Times New Roman" w:cs="Times New Roman"/>
          <w:sz w:val="24"/>
          <w:szCs w:val="24"/>
        </w:rPr>
      </w:pPr>
    </w:p>
    <w:p w14:paraId="5D766EC6" w14:textId="77777777" w:rsidR="007A451F" w:rsidRDefault="007A451F" w:rsidP="007A451F">
      <w:pPr>
        <w:spacing w:line="480" w:lineRule="auto"/>
        <w:ind w:firstLine="720"/>
        <w:rPr>
          <w:rFonts w:ascii="Times New Roman" w:eastAsia="Times New Roman" w:hAnsi="Times New Roman" w:cs="Times New Roman"/>
          <w:sz w:val="24"/>
          <w:szCs w:val="24"/>
        </w:rPr>
      </w:pPr>
      <w:bookmarkStart w:id="2" w:name="_heading=h.574i359nq04n" w:colFirst="0" w:colLast="0"/>
      <w:bookmarkEnd w:id="2"/>
      <w:r>
        <w:rPr>
          <w:rFonts w:ascii="Times New Roman" w:eastAsia="Times New Roman" w:hAnsi="Times New Roman" w:cs="Times New Roman"/>
          <w:sz w:val="24"/>
          <w:szCs w:val="24"/>
        </w:rPr>
        <w:t xml:space="preserve">Building on the foundational work of Bernstein (1999), Ireland &amp; </w:t>
      </w:r>
      <w:proofErr w:type="spellStart"/>
      <w:r>
        <w:rPr>
          <w:rFonts w:ascii="Times New Roman" w:eastAsia="Times New Roman" w:hAnsi="Times New Roman" w:cs="Times New Roman"/>
          <w:sz w:val="24"/>
          <w:szCs w:val="24"/>
        </w:rPr>
        <w:t>Mouthaan</w:t>
      </w:r>
      <w:proofErr w:type="spellEnd"/>
      <w:r>
        <w:rPr>
          <w:rFonts w:ascii="Times New Roman" w:eastAsia="Times New Roman" w:hAnsi="Times New Roman" w:cs="Times New Roman"/>
          <w:sz w:val="24"/>
          <w:szCs w:val="24"/>
        </w:rPr>
        <w:t xml:space="preserve"> (2020) and Walker (2020) have made a distinction between subjects that can be thought of as vertical, such as maths, and those that are more horizontal, such as humanities. These are not intended as absolutely clear-cut </w:t>
      </w:r>
      <w:proofErr w:type="gramStart"/>
      <w:r>
        <w:rPr>
          <w:rFonts w:ascii="Times New Roman" w:eastAsia="Times New Roman" w:hAnsi="Times New Roman" w:cs="Times New Roman"/>
          <w:sz w:val="24"/>
          <w:szCs w:val="24"/>
        </w:rPr>
        <w:t>distinctions, but</w:t>
      </w:r>
      <w:proofErr w:type="gramEnd"/>
      <w:r>
        <w:rPr>
          <w:rFonts w:ascii="Times New Roman" w:eastAsia="Times New Roman" w:hAnsi="Times New Roman" w:cs="Times New Roman"/>
          <w:sz w:val="24"/>
          <w:szCs w:val="24"/>
        </w:rPr>
        <w:t xml:space="preserve"> rather provide a way to think about the </w:t>
      </w:r>
      <w:r>
        <w:rPr>
          <w:rFonts w:ascii="Times New Roman" w:eastAsia="Times New Roman" w:hAnsi="Times New Roman" w:cs="Times New Roman"/>
          <w:sz w:val="24"/>
          <w:szCs w:val="24"/>
        </w:rPr>
        <w:lastRenderedPageBreak/>
        <w:t xml:space="preserve">differences between subjects, and the kinds of knowledge they provide. In the more vertical subjects Bruner’s ideas apply unproblematically as the same concepts are revisited and deepened and earlier understanding provides the foundation for later stages. By contrast, in the more horizontal subjects progress often involves simply learning additional or alternative viewpoints. For example, progress in sociology might mean looking at the same institution (e.g. the family) from different ideological standpoints (functionalism, feminism, symbolic interactionism, etc.). In citizenship we believe it is useful to think about both horizontal and vertical approaches to develop clarity about what kind of knowledge we are building.  </w:t>
      </w:r>
    </w:p>
    <w:p w14:paraId="23849326" w14:textId="77777777" w:rsidR="007A451F" w:rsidRDefault="007A451F" w:rsidP="007A451F">
      <w:pPr>
        <w:spacing w:line="480" w:lineRule="auto"/>
        <w:rPr>
          <w:rFonts w:ascii="Times New Roman" w:eastAsia="Times New Roman" w:hAnsi="Times New Roman" w:cs="Times New Roman"/>
          <w:sz w:val="24"/>
          <w:szCs w:val="24"/>
        </w:rPr>
      </w:pPr>
    </w:p>
    <w:p w14:paraId="300DDDE4"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can explore this in relation to human rights, which is a widely taught aspect of substantive citizenship knowledge. Thinking </w:t>
      </w:r>
      <w:proofErr w:type="gramStart"/>
      <w:r>
        <w:rPr>
          <w:rFonts w:ascii="Times New Roman" w:eastAsia="Times New Roman" w:hAnsi="Times New Roman" w:cs="Times New Roman"/>
          <w:sz w:val="24"/>
          <w:szCs w:val="24"/>
        </w:rPr>
        <w:t>vertically</w:t>
      </w:r>
      <w:proofErr w:type="gramEnd"/>
      <w:r>
        <w:rPr>
          <w:rFonts w:ascii="Times New Roman" w:eastAsia="Times New Roman" w:hAnsi="Times New Roman" w:cs="Times New Roman"/>
          <w:sz w:val="24"/>
          <w:szCs w:val="24"/>
        </w:rPr>
        <w:t xml:space="preserve"> we might want to start teaching about individual rights in various national and international agreements and laws, for example, the Universal Declaration of Human Rights, the United Nations Convention on the Rights of the Child, or the UK’s Human Rights Act. Once one understands what kinds of rights one has, it might be useful to consider the principles underpinning these documents, for example, that these rights are interdependent, indivisible, universal, and inalienable. One might then want to consider the question of how such rights might be implemented, for example by teaching about the relationship between rights-holders and duty-bearers. And finally, we might hope that our students will come to understand what it means to have rights and to be able to respond to fundamental questions such as: What kind of a thing is a right? Where does it come from? And what has it got to do with me? To some extent, it helps to think of this sequence of learning as vertical, in that </w:t>
      </w:r>
      <w:proofErr w:type="spellStart"/>
      <w:proofErr w:type="gramStart"/>
      <w:r>
        <w:rPr>
          <w:rFonts w:ascii="Times New Roman" w:eastAsia="Times New Roman" w:hAnsi="Times New Roman" w:cs="Times New Roman"/>
          <w:sz w:val="24"/>
          <w:szCs w:val="24"/>
        </w:rPr>
        <w:t>students</w:t>
      </w:r>
      <w:proofErr w:type="spellEnd"/>
      <w:proofErr w:type="gramEnd"/>
      <w:r>
        <w:rPr>
          <w:rFonts w:ascii="Times New Roman" w:eastAsia="Times New Roman" w:hAnsi="Times New Roman" w:cs="Times New Roman"/>
          <w:sz w:val="24"/>
          <w:szCs w:val="24"/>
        </w:rPr>
        <w:t xml:space="preserve"> progress from knowing that they have rights, to learning the detail of what rights they have, and then think about what principles connect their rights, and ultimately to understand what kind of thing a right is.</w:t>
      </w:r>
    </w:p>
    <w:p w14:paraId="1F063970" w14:textId="77777777" w:rsidR="007A451F" w:rsidRDefault="007A451F" w:rsidP="007A451F">
      <w:pPr>
        <w:spacing w:line="480" w:lineRule="auto"/>
        <w:rPr>
          <w:rFonts w:ascii="Times New Roman" w:eastAsia="Times New Roman" w:hAnsi="Times New Roman" w:cs="Times New Roman"/>
          <w:sz w:val="24"/>
          <w:szCs w:val="24"/>
        </w:rPr>
      </w:pPr>
    </w:p>
    <w:p w14:paraId="4CD64DB6"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That is fine as far as it goes, but this approach to progression still only tells part of the picture. To fully understand rights, we also need to understand the nature of international law and the various processes by which the international community seeks to secure implementation. This might also lead us to consider international human rights organisations, and to consider their work and their effectiveness. It will be useful to understand the difference between rights in domestic law and international law, and to appreciate that domestic legislation may make rights more directly accessible, but they may also be re-shaped and re-interpreted by the legislative context. It would also be reasonable to know that there are different ways to think about rights in different philosophical traditions, as these various emphases have a bearing on how we think about society, especially how rights relate to citizenship. Here we might consider a liberal view of rights as essentially individual, alongside a communitarian conception of rights, which focuses more on the need to balance individual rights with the collective good, and to link rights much more explicitly with responsibilities. It would also be useful to draw on knowledge from the sociology of rights, focusing on the specific contexts in which rights arise and who benefits and who does not. And finally, we might consider rights as a political struggle to protect minorities from majorities and state power, and the ways in which ‘rights talk’ is used by various groups to further their political aims. This approach seems to be more horizontal in that learning about international and domestic law does not obviously precede or follow from a sociological analysis – they are merely two alternative ways to think about rights.</w:t>
      </w:r>
    </w:p>
    <w:p w14:paraId="547018A8" w14:textId="77777777" w:rsidR="007A451F" w:rsidRDefault="007A451F" w:rsidP="007A451F">
      <w:pPr>
        <w:spacing w:line="480" w:lineRule="auto"/>
        <w:rPr>
          <w:rFonts w:ascii="Times New Roman" w:eastAsia="Times New Roman" w:hAnsi="Times New Roman" w:cs="Times New Roman"/>
          <w:sz w:val="24"/>
          <w:szCs w:val="24"/>
        </w:rPr>
      </w:pPr>
    </w:p>
    <w:p w14:paraId="6B6EC131"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notion of expanding our repertoire of ways to frame an issue is reflected in Rowe’s (2005) research into how students understand conflicts. He suggested that one of the hallmarks of mature political thinking is the ability to understand a problem from different perspectives. Partly this is the ability to understand that other people have different views </w:t>
      </w:r>
      <w:r>
        <w:rPr>
          <w:rFonts w:ascii="Times New Roman" w:eastAsia="Times New Roman" w:hAnsi="Times New Roman" w:cs="Times New Roman"/>
          <w:sz w:val="24"/>
          <w:szCs w:val="24"/>
        </w:rPr>
        <w:lastRenderedPageBreak/>
        <w:t xml:space="preserve">about an issue, not because they have access to different information, but because they have a different worldview or emphasise different values. Understanding these differences and acknowledging the legitimacy of various positions is the beginning point for a political understanding. This is also in part about understanding that we can see the same issue through different lenses, for example, we can see climate change as a scientific or geographical issue; a social justice or ethical challenge; a question of personal or collective responsibilities; and from an economic or political perspective. Each approach enables us to frame the issue differently, ask different questions, and ultimately suggests different types of response. We might reasonably argue that the ultimate question of what we should do in the face of climate change will be better answered if we can see it from all these perspectives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come to a well-informed personal judgement.</w:t>
      </w:r>
    </w:p>
    <w:p w14:paraId="12F65EAD" w14:textId="77777777" w:rsidR="007A451F" w:rsidRDefault="007A451F" w:rsidP="007A451F">
      <w:pPr>
        <w:spacing w:line="480" w:lineRule="auto"/>
        <w:rPr>
          <w:rFonts w:ascii="Times New Roman" w:eastAsia="Times New Roman" w:hAnsi="Times New Roman" w:cs="Times New Roman"/>
          <w:sz w:val="24"/>
          <w:szCs w:val="24"/>
        </w:rPr>
      </w:pPr>
    </w:p>
    <w:p w14:paraId="109ADFA7"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capacity to handle multiple ways to frame the same issue resonates with </w:t>
      </w:r>
      <w:proofErr w:type="spellStart"/>
      <w:r>
        <w:rPr>
          <w:rFonts w:ascii="Times New Roman" w:eastAsia="Times New Roman" w:hAnsi="Times New Roman" w:cs="Times New Roman"/>
          <w:sz w:val="24"/>
          <w:szCs w:val="24"/>
        </w:rPr>
        <w:t>Reznitskaya</w:t>
      </w:r>
      <w:proofErr w:type="spellEnd"/>
      <w:r>
        <w:rPr>
          <w:rFonts w:ascii="Times New Roman" w:eastAsia="Times New Roman" w:hAnsi="Times New Roman" w:cs="Times New Roman"/>
          <w:sz w:val="24"/>
          <w:szCs w:val="24"/>
        </w:rPr>
        <w:t xml:space="preserve"> and Gregory’s (2013) work, using Kuhn's (1991) thinking on hierarchically ordered stages of 'epistemological development'. This work explores how children not only acquire factual </w:t>
      </w:r>
      <w:proofErr w:type="gramStart"/>
      <w:r>
        <w:rPr>
          <w:rFonts w:ascii="Times New Roman" w:eastAsia="Times New Roman" w:hAnsi="Times New Roman" w:cs="Times New Roman"/>
          <w:sz w:val="24"/>
          <w:szCs w:val="24"/>
        </w:rPr>
        <w:t>knowledge, but</w:t>
      </w:r>
      <w:proofErr w:type="gramEnd"/>
      <w:r>
        <w:rPr>
          <w:rFonts w:ascii="Times New Roman" w:eastAsia="Times New Roman" w:hAnsi="Times New Roman" w:cs="Times New Roman"/>
          <w:sz w:val="24"/>
          <w:szCs w:val="24"/>
        </w:rPr>
        <w:t xml:space="preserve"> also deepen their understanding of knowledge. Kuhn suggests that younger students might start with an ‘absolutist’ epistemology, in which knowledge is fixed, generally held by experts, and proven by facts. By contrast, a ‘</w:t>
      </w:r>
      <w:proofErr w:type="spellStart"/>
      <w:r>
        <w:rPr>
          <w:rFonts w:ascii="Times New Roman" w:eastAsia="Times New Roman" w:hAnsi="Times New Roman" w:cs="Times New Roman"/>
          <w:sz w:val="24"/>
          <w:szCs w:val="24"/>
        </w:rPr>
        <w:t>multiplist</w:t>
      </w:r>
      <w:proofErr w:type="spellEnd"/>
      <w:r>
        <w:rPr>
          <w:rFonts w:ascii="Times New Roman" w:eastAsia="Times New Roman" w:hAnsi="Times New Roman" w:cs="Times New Roman"/>
          <w:sz w:val="24"/>
          <w:szCs w:val="24"/>
        </w:rPr>
        <w:t xml:space="preserve">’ view of knowledge grasps that people have different points of </w:t>
      </w:r>
      <w:proofErr w:type="gramStart"/>
      <w:r>
        <w:rPr>
          <w:rFonts w:ascii="Times New Roman" w:eastAsia="Times New Roman" w:hAnsi="Times New Roman" w:cs="Times New Roman"/>
          <w:sz w:val="24"/>
          <w:szCs w:val="24"/>
        </w:rPr>
        <w:t>view, but</w:t>
      </w:r>
      <w:proofErr w:type="gramEnd"/>
      <w:r>
        <w:rPr>
          <w:rFonts w:ascii="Times New Roman" w:eastAsia="Times New Roman" w:hAnsi="Times New Roman" w:cs="Times New Roman"/>
          <w:sz w:val="24"/>
          <w:szCs w:val="24"/>
        </w:rPr>
        <w:t xml:space="preserve"> succumbs to a form of relativism about knowledge in which there is no way to judge those diverse opinions. Finally, an ‘</w:t>
      </w:r>
      <w:proofErr w:type="spellStart"/>
      <w:r>
        <w:rPr>
          <w:rFonts w:ascii="Times New Roman" w:eastAsia="Times New Roman" w:hAnsi="Times New Roman" w:cs="Times New Roman"/>
          <w:sz w:val="24"/>
          <w:szCs w:val="24"/>
        </w:rPr>
        <w:t>evaluativist</w:t>
      </w:r>
      <w:proofErr w:type="spellEnd"/>
      <w:r>
        <w:rPr>
          <w:rFonts w:ascii="Times New Roman" w:eastAsia="Times New Roman" w:hAnsi="Times New Roman" w:cs="Times New Roman"/>
          <w:sz w:val="24"/>
          <w:szCs w:val="24"/>
        </w:rPr>
        <w:t>’ perspective recognises this diversity of opinions but also understands these can be subjected to scrutiny using methods of inquiry and rational evaluation to discern which judgements might be more defensible than others (</w:t>
      </w:r>
      <w:proofErr w:type="spellStart"/>
      <w:r>
        <w:rPr>
          <w:rFonts w:ascii="Times New Roman" w:eastAsia="Times New Roman" w:hAnsi="Times New Roman" w:cs="Times New Roman"/>
          <w:sz w:val="24"/>
          <w:szCs w:val="24"/>
        </w:rPr>
        <w:t>Reznitskaya</w:t>
      </w:r>
      <w:proofErr w:type="spellEnd"/>
      <w:r>
        <w:rPr>
          <w:rFonts w:ascii="Times New Roman" w:eastAsia="Times New Roman" w:hAnsi="Times New Roman" w:cs="Times New Roman"/>
          <w:sz w:val="24"/>
          <w:szCs w:val="24"/>
        </w:rPr>
        <w:t xml:space="preserve"> and Gregory, 2013:115). They argue that citizenship teachers can help students build an 'argument schema' to build a general understanding of how arguments are built, questioned, worked through etc. </w:t>
      </w:r>
      <w:r>
        <w:rPr>
          <w:rFonts w:ascii="Times New Roman" w:eastAsia="Times New Roman" w:hAnsi="Times New Roman" w:cs="Times New Roman"/>
          <w:sz w:val="24"/>
          <w:szCs w:val="24"/>
        </w:rPr>
        <w:lastRenderedPageBreak/>
        <w:t xml:space="preserve">which fits in with the </w:t>
      </w:r>
      <w:proofErr w:type="spellStart"/>
      <w:r>
        <w:rPr>
          <w:rFonts w:ascii="Times New Roman" w:eastAsia="Times New Roman" w:hAnsi="Times New Roman" w:cs="Times New Roman"/>
          <w:sz w:val="24"/>
          <w:szCs w:val="24"/>
        </w:rPr>
        <w:t>evaluativist</w:t>
      </w:r>
      <w:proofErr w:type="spellEnd"/>
      <w:r>
        <w:rPr>
          <w:rFonts w:ascii="Times New Roman" w:eastAsia="Times New Roman" w:hAnsi="Times New Roman" w:cs="Times New Roman"/>
          <w:sz w:val="24"/>
          <w:szCs w:val="24"/>
        </w:rPr>
        <w:t xml:space="preserve"> epistemological world view. Such thinking also contributes to students' more complex understanding of disciplinary knowledge i.e. what it means to understand concepts like rights, and especially to start to think about how one might apply the concept of rights to specific situations (and how this might be contested).</w:t>
      </w:r>
    </w:p>
    <w:p w14:paraId="2082C41D" w14:textId="77777777" w:rsidR="007A451F" w:rsidRDefault="007A451F" w:rsidP="007A451F">
      <w:pPr>
        <w:spacing w:line="480" w:lineRule="auto"/>
        <w:rPr>
          <w:rFonts w:ascii="Times New Roman" w:eastAsia="Times New Roman" w:hAnsi="Times New Roman" w:cs="Times New Roman"/>
          <w:sz w:val="24"/>
          <w:szCs w:val="24"/>
        </w:rPr>
      </w:pPr>
    </w:p>
    <w:p w14:paraId="53AA5A16"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Valencia, Parker &amp; Lo (2023), who we discussed in the previous section, outline a list of core disciplinary reasoning strategies to underpin their course on American government. </w:t>
      </w:r>
    </w:p>
    <w:p w14:paraId="494ED7C2"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Constitutional reasoning (reasoning about policy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the Constitution), </w:t>
      </w:r>
    </w:p>
    <w:p w14:paraId="70B7F82D"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Deliberation (discussion to decide among alternatives; evidentiary warrant), </w:t>
      </w:r>
    </w:p>
    <w:p w14:paraId="5CB8DA38"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Perspective taking (e.g. trying on diverse political ideologies and social positions), </w:t>
      </w:r>
    </w:p>
    <w:p w14:paraId="3A988A8F"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Political autonomy (making uncoerced decisions, consenting to be governed, voting for candidate X), </w:t>
      </w:r>
    </w:p>
    <w:p w14:paraId="09085F3A"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Close, interpretive reading of subject-specific texts.</w:t>
      </w:r>
    </w:p>
    <w:p w14:paraId="2139EE4B"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with their substantive concepts, these would need to be adapted to other national contexts, for example, in place of constitutional reasoning we might like to insert ‘human rights reasoning’ to focus on how to think critically with human rights principles. But the range of their list does resonate with other literature on this topic, for example, the national curriculum for citizenship in England in 2007 included:</w:t>
      </w:r>
    </w:p>
    <w:p w14:paraId="46776BE4" w14:textId="77777777" w:rsidR="007A451F" w:rsidRDefault="007A451F" w:rsidP="007A451F">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being able to engage in debate and advocacy,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understand (and learn from) multiple perspectives,</w:t>
      </w:r>
    </w:p>
    <w:p w14:paraId="6E72EFF4" w14:textId="77777777" w:rsidR="007A451F" w:rsidRDefault="007A451F" w:rsidP="007A451F">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critical thinking and enquiry,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develop sound, evidence-based arguments, </w:t>
      </w:r>
    </w:p>
    <w:p w14:paraId="4A6C5395" w14:textId="77777777" w:rsidR="007A451F" w:rsidRDefault="007A451F" w:rsidP="007A451F">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being able to undertake individual investigations making critical use of a range of sources of information, to ensure that one can make informed judgements, and</w:t>
      </w:r>
    </w:p>
    <w:p w14:paraId="38CF635B" w14:textId="77777777" w:rsidR="007A451F" w:rsidRDefault="007A451F" w:rsidP="007A451F">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ability to develop plans for action (with a clear rationale, demonstrating political literacy), implement them and evaluate them.</w:t>
      </w:r>
    </w:p>
    <w:p w14:paraId="072366F0"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Such lists are often presented as skills or learning activities, but they also embody significant elements of epistemological development, for example, assuming that political views can be developed through enquiry; that they can be articulated, defended and shaped through debate; and that these ideas can be put into action to attempt to change some aspect of the world.</w:t>
      </w:r>
    </w:p>
    <w:p w14:paraId="7430C699" w14:textId="77777777" w:rsidR="007A451F" w:rsidRDefault="007A451F" w:rsidP="007A451F">
      <w:pPr>
        <w:spacing w:line="480" w:lineRule="auto"/>
        <w:rPr>
          <w:rFonts w:ascii="Times New Roman" w:eastAsia="Times New Roman" w:hAnsi="Times New Roman" w:cs="Times New Roman"/>
          <w:sz w:val="24"/>
          <w:szCs w:val="24"/>
        </w:rPr>
      </w:pPr>
    </w:p>
    <w:p w14:paraId="0E3FCB61"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relation to school history Counsell (2000) argues compellingly that the age-old debate about knowledge v. skills is a false dichotomy because knowledge can only be fully understood and used when one is conducting some form of historical enquiry. The skills of history (creating a narrative, analysing evidence etc.) only become historical when being used in relation to historical knowledge. </w:t>
      </w:r>
      <w:proofErr w:type="gramStart"/>
      <w:r>
        <w:rPr>
          <w:rFonts w:ascii="Times New Roman" w:eastAsia="Times New Roman" w:hAnsi="Times New Roman" w:cs="Times New Roman"/>
          <w:sz w:val="24"/>
          <w:szCs w:val="24"/>
        </w:rPr>
        <w:t>Therefore</w:t>
      </w:r>
      <w:proofErr w:type="gramEnd"/>
      <w:r>
        <w:rPr>
          <w:rFonts w:ascii="Times New Roman" w:eastAsia="Times New Roman" w:hAnsi="Times New Roman" w:cs="Times New Roman"/>
          <w:sz w:val="24"/>
          <w:szCs w:val="24"/>
        </w:rPr>
        <w:t xml:space="preserve"> the distinctive disciplinary lens of history develops when students engage with both skills and knowledge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understand a problem ‘historically’. In a similar vein, a proper account of citizenship education should acknowledge that the knowledge and skills are inseparable. The perceived need for action does not automatically emerge from a common-sense understanding of everyday life, nor from some mysterious urge to action, rather, it often emerges from a deep political understanding of the world. Similarly, the kind of action that would be useful is not just a matter of somehow ‘reading off’ the contextual information and identifying the best method, this too requires some deep understanding of the nature of politics and the nature of the problem one seeks to solve. An anecdote from observing citizenship classes illustrates this point. In one popular teaching activity students create a tree diagram, with desired outcomes as the fruits, and problems listed as the roots (see figure 3.3). Then they identify possible citizen actions which could lead to each outcome and analyse these on a </w:t>
      </w:r>
      <w:proofErr w:type="gramStart"/>
      <w:r>
        <w:rPr>
          <w:rFonts w:ascii="Times New Roman" w:eastAsia="Times New Roman" w:hAnsi="Times New Roman" w:cs="Times New Roman"/>
          <w:sz w:val="24"/>
          <w:szCs w:val="24"/>
        </w:rPr>
        <w:t>two by two</w:t>
      </w:r>
      <w:proofErr w:type="gramEnd"/>
      <w:r>
        <w:rPr>
          <w:rFonts w:ascii="Times New Roman" w:eastAsia="Times New Roman" w:hAnsi="Times New Roman" w:cs="Times New Roman"/>
          <w:sz w:val="24"/>
          <w:szCs w:val="24"/>
        </w:rPr>
        <w:t xml:space="preserve"> matrix formed by two continua (easiest – hardest to achieve on the x-axis and biggest – smallest impact on the y-axis). Whilst adults in training sessions often find this easy to complete, it draws on knowledge which children often do not have. They need a basic mastery of politics </w:t>
      </w:r>
      <w:r>
        <w:rPr>
          <w:rFonts w:ascii="Times New Roman" w:eastAsia="Times New Roman" w:hAnsi="Times New Roman" w:cs="Times New Roman"/>
          <w:sz w:val="24"/>
          <w:szCs w:val="24"/>
        </w:rPr>
        <w:lastRenderedPageBreak/>
        <w:t>more generally to understand how easy or difficult it may be to undertake a form of action, or to assess the likely impact of any action. It seems reasonable to assume a two-way relationship between knowledge of citizenship and those citizenship skills and attitudes often espoused in curriculum aims. Knowing and understanding more enables us to perceive the need for action and helps us formulate potential courses of action. Conversely, participating in real citizenship action helps us to deepen our understanding of citizenship issues and activities, and helps to build our knowledge of the political sphere and of the nature of citizenship more broadly.</w:t>
      </w:r>
    </w:p>
    <w:p w14:paraId="4069FC04" w14:textId="77777777" w:rsidR="007A451F" w:rsidRDefault="007A451F" w:rsidP="007A451F">
      <w:pPr>
        <w:spacing w:line="480" w:lineRule="auto"/>
        <w:rPr>
          <w:rFonts w:ascii="Times New Roman" w:eastAsia="Times New Roman" w:hAnsi="Times New Roman" w:cs="Times New Roman"/>
          <w:sz w:val="24"/>
          <w:szCs w:val="24"/>
        </w:rPr>
      </w:pPr>
    </w:p>
    <w:p w14:paraId="3CF5ECA3"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3.3: Problems-solutions-action tree</w:t>
      </w:r>
    </w:p>
    <w:p w14:paraId="4183F21F"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2C46341" wp14:editId="3320908D">
            <wp:extent cx="5857875" cy="3267075"/>
            <wp:effectExtent l="0" t="0" r="0" b="0"/>
            <wp:docPr id="207750407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l="15434" t="25814" r="40919" b="30768"/>
                    <a:stretch>
                      <a:fillRect/>
                    </a:stretch>
                  </pic:blipFill>
                  <pic:spPr>
                    <a:xfrm>
                      <a:off x="0" y="0"/>
                      <a:ext cx="5857875" cy="3267075"/>
                    </a:xfrm>
                    <a:prstGeom prst="rect">
                      <a:avLst/>
                    </a:prstGeom>
                    <a:ln/>
                  </pic:spPr>
                </pic:pic>
              </a:graphicData>
            </a:graphic>
          </wp:inline>
        </w:drawing>
      </w:r>
    </w:p>
    <w:p w14:paraId="7DEC5EFB"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of this thinking reflects ‘phronesis’ as a form of knowledge which includes the ability to make the right decision in particular circumstances (Jerome &amp; Starkey, 2021). As already </w:t>
      </w:r>
      <w:proofErr w:type="gramStart"/>
      <w:r>
        <w:rPr>
          <w:rFonts w:ascii="Times New Roman" w:eastAsia="Times New Roman" w:hAnsi="Times New Roman" w:cs="Times New Roman"/>
          <w:sz w:val="24"/>
          <w:szCs w:val="24"/>
        </w:rPr>
        <w:t>noted</w:t>
      </w:r>
      <w:proofErr w:type="gramEnd"/>
      <w:r>
        <w:rPr>
          <w:rFonts w:ascii="Times New Roman" w:eastAsia="Times New Roman" w:hAnsi="Times New Roman" w:cs="Times New Roman"/>
          <w:sz w:val="24"/>
          <w:szCs w:val="24"/>
        </w:rPr>
        <w:t xml:space="preserve"> (above) phronesis is often referred to as a form of practical wisdom, which combines knowledge and action with judgement. It offers us a way of thinking about political knowledge which is applied and embedded in a particular context, and which draws on </w:t>
      </w:r>
      <w:r>
        <w:rPr>
          <w:rFonts w:ascii="Times New Roman" w:eastAsia="Times New Roman" w:hAnsi="Times New Roman" w:cs="Times New Roman"/>
          <w:sz w:val="24"/>
          <w:szCs w:val="24"/>
        </w:rPr>
        <w:lastRenderedPageBreak/>
        <w:t xml:space="preserve">technical knowledge within an ethical framework. Citizenship is partly concerned with developing </w:t>
      </w:r>
      <w:proofErr w:type="spellStart"/>
      <w:r>
        <w:rPr>
          <w:rFonts w:ascii="Times New Roman" w:eastAsia="Times New Roman" w:hAnsi="Times New Roman" w:cs="Times New Roman"/>
          <w:sz w:val="24"/>
          <w:szCs w:val="24"/>
        </w:rPr>
        <w:t>phronetic</w:t>
      </w:r>
      <w:proofErr w:type="spellEnd"/>
      <w:r>
        <w:rPr>
          <w:rFonts w:ascii="Times New Roman" w:eastAsia="Times New Roman" w:hAnsi="Times New Roman" w:cs="Times New Roman"/>
          <w:sz w:val="24"/>
          <w:szCs w:val="24"/>
        </w:rPr>
        <w:t xml:space="preserve"> knowledge in a way that defies standard definitions and curricular codification because it is often embedded in specific contexts and is valuable as a guide to action, not just a way to describe the world. For example, in the citizenship class when students are encouraged to plan a possible campaign of action, they may be encouraged to choose methods ranging from petitions, posters, assemblies, protests, letter-writing, meetings with politicians, media coverage, direct action, joining other campaigns etc. It is unlikely that one of these methods will be obviously the correct choice, rather higher levels of understanding will be evident in whether and how students articulate which one might be most appropriate for a given campaign, in a specific context.</w:t>
      </w:r>
    </w:p>
    <w:p w14:paraId="7004CD93" w14:textId="77777777" w:rsidR="007A451F" w:rsidRDefault="007A451F" w:rsidP="007A451F">
      <w:pPr>
        <w:spacing w:line="480" w:lineRule="auto"/>
        <w:rPr>
          <w:rFonts w:ascii="Times New Roman" w:eastAsia="Times New Roman" w:hAnsi="Times New Roman" w:cs="Times New Roman"/>
          <w:sz w:val="24"/>
          <w:szCs w:val="24"/>
        </w:rPr>
      </w:pPr>
    </w:p>
    <w:p w14:paraId="034F6D21"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Taken together, these first two forms of teachers’ knowledge (substantive and epistemic) address what is commonly referred to as the role of subject knowledge in professional practice. In the first two sections of this </w:t>
      </w:r>
      <w:proofErr w:type="gramStart"/>
      <w:r>
        <w:rPr>
          <w:rFonts w:ascii="Times New Roman" w:eastAsia="Times New Roman" w:hAnsi="Times New Roman" w:cs="Times New Roman"/>
          <w:sz w:val="24"/>
          <w:szCs w:val="24"/>
        </w:rPr>
        <w:t>chapter</w:t>
      </w:r>
      <w:proofErr w:type="gramEnd"/>
      <w:r>
        <w:rPr>
          <w:rFonts w:ascii="Times New Roman" w:eastAsia="Times New Roman" w:hAnsi="Times New Roman" w:cs="Times New Roman"/>
          <w:sz w:val="24"/>
          <w:szCs w:val="24"/>
        </w:rPr>
        <w:t xml:space="preserve"> we have not asserted a particular list of concepts or one single definition of what constitutes the epistemological basis of citizenship. Rather, we have sought to illustrate what a rich and nuanced area of professional practice this can be. In subsequent chapters we will see how these aspects of teacher knowledge are embedded in a variety of classroom-based examples. But, before we get to those examples, we turn now to the remaining three categories of teacher knowledge, which are equally important in providing an account of the professional </w:t>
      </w:r>
      <w:proofErr w:type="gramStart"/>
      <w:r>
        <w:rPr>
          <w:rFonts w:ascii="Times New Roman" w:eastAsia="Times New Roman" w:hAnsi="Times New Roman" w:cs="Times New Roman"/>
          <w:sz w:val="24"/>
          <w:szCs w:val="24"/>
        </w:rPr>
        <w:t>knowledge-base</w:t>
      </w:r>
      <w:proofErr w:type="gramEnd"/>
      <w:r>
        <w:rPr>
          <w:rFonts w:ascii="Times New Roman" w:eastAsia="Times New Roman" w:hAnsi="Times New Roman" w:cs="Times New Roman"/>
          <w:sz w:val="24"/>
          <w:szCs w:val="24"/>
        </w:rPr>
        <w:t xml:space="preserve"> of citizenship teachers.</w:t>
      </w:r>
    </w:p>
    <w:p w14:paraId="191A2DAF" w14:textId="77777777" w:rsidR="007A451F" w:rsidRDefault="007A451F" w:rsidP="007A451F">
      <w:pPr>
        <w:spacing w:line="480" w:lineRule="auto"/>
        <w:rPr>
          <w:rFonts w:ascii="Times New Roman" w:eastAsia="Times New Roman" w:hAnsi="Times New Roman" w:cs="Times New Roman"/>
          <w:sz w:val="24"/>
          <w:szCs w:val="24"/>
        </w:rPr>
      </w:pPr>
    </w:p>
    <w:p w14:paraId="1C5749E0" w14:textId="77777777" w:rsidR="007A451F" w:rsidRDefault="007A451F" w:rsidP="007A451F">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Pedagogic knowledge</w:t>
      </w:r>
    </w:p>
    <w:p w14:paraId="5BB9E2CD"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Whilst knowledge of the subject matter will be shared between teachers and others engaged in academia (e.g. political scientists, philosophers etc) and related professional practice (e.g. </w:t>
      </w:r>
      <w:r>
        <w:rPr>
          <w:rFonts w:ascii="Times New Roman" w:eastAsia="Times New Roman" w:hAnsi="Times New Roman" w:cs="Times New Roman"/>
          <w:sz w:val="24"/>
          <w:szCs w:val="24"/>
        </w:rPr>
        <w:lastRenderedPageBreak/>
        <w:t>lawyers, civil servants etc.), Shulman also argued that teachers develop a specific form of knowledge about how best to represent the most important ideas to others through analogies, illustrations, examples and explanations. They have some sense of what pupils see as more easy or difficult and an appreciation of common misconceptions; and they sense what approaches might be more fruitful. In his later account, Shulman (1987) distinguished between general pedagogic knowledge, such as knowledge of classroom management techniques, and pedagogical content knowledge (PCK). This latter category is often seen as one of his major contributions to the field and he meant by it:</w:t>
      </w:r>
    </w:p>
    <w:p w14:paraId="053EB6CE" w14:textId="77777777" w:rsidR="007A451F" w:rsidRDefault="007A451F" w:rsidP="007A451F">
      <w:pPr>
        <w:spacing w:line="480" w:lineRule="auto"/>
        <w:ind w:left="567" w:right="567"/>
        <w:rPr>
          <w:rFonts w:ascii="Times New Roman" w:eastAsia="Times New Roman" w:hAnsi="Times New Roman" w:cs="Times New Roman"/>
          <w:sz w:val="24"/>
          <w:szCs w:val="24"/>
        </w:rPr>
      </w:pPr>
      <w:r>
        <w:rPr>
          <w:rFonts w:ascii="Times New Roman" w:eastAsia="Times New Roman" w:hAnsi="Times New Roman" w:cs="Times New Roman"/>
          <w:sz w:val="24"/>
          <w:szCs w:val="24"/>
        </w:rPr>
        <w:t>That special amalgam of content and pedagogy that is uniquely the province of teachers… it represents the blending of content and pedagogy into an understanding of how particular topics, problems, or issues are organized, represented, and adapted to the diverse interests and abilities of learners, and presented for instruction (Shulman, 1987: 8).</w:t>
      </w:r>
    </w:p>
    <w:p w14:paraId="51F7B8A1"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 describes a process of pedagogical reasoning, in which the teacher identifies the learning objectives, reviews and adapts available resources, considers the specific needs, interests, motivations and relationships of students, and then decides how best to represent the material through presentation and activities.</w:t>
      </w:r>
    </w:p>
    <w:p w14:paraId="2772D062" w14:textId="77777777" w:rsidR="007A451F" w:rsidRDefault="007A451F" w:rsidP="007A451F">
      <w:pPr>
        <w:spacing w:line="480" w:lineRule="auto"/>
        <w:rPr>
          <w:rFonts w:ascii="Times New Roman" w:eastAsia="Times New Roman" w:hAnsi="Times New Roman" w:cs="Times New Roman"/>
          <w:sz w:val="24"/>
          <w:szCs w:val="24"/>
        </w:rPr>
      </w:pPr>
    </w:p>
    <w:p w14:paraId="7AB0F58C"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history education, this work is more developed than in citizenship, and so we can illustrate this form of knowledge by referring to our history colleagues’ work. History educators have focused on the concept of causation, as it is particularly important to help shift young students from trying to understand history as primarily being caused by people willing things to happen, and to move into more complex and systemic accounts of why history happened in the way it did (Lee, 2005). Chapman (2003) developed a four-term typology to help students think about causes by distinguishing between content (e.g. economic or political </w:t>
      </w:r>
      <w:r>
        <w:rPr>
          <w:rFonts w:ascii="Times New Roman" w:eastAsia="Times New Roman" w:hAnsi="Times New Roman" w:cs="Times New Roman"/>
          <w:sz w:val="24"/>
          <w:szCs w:val="24"/>
        </w:rPr>
        <w:lastRenderedPageBreak/>
        <w:t>causes); time (e.g. short- and long-term causes); role (e.g. preconditions and triggers); and importance (e.g. necessary and sufficient causes). Phillips (2002) lists a range of tried and tested teaching activities to explore various aspects of causation, including metaphors for helping students imagine how events connect, such as ripples to illustrate time, chains to imagine what the crucial link might be, powder kegs to consider what might set off the fuse, and icebergs to think about obvious and hidden factors. He also writes of the importance of concrete strategies, such as sorting information cards into cause / consequence, or short / long term, or important / unimportant; and drawing connections between factors to build complex causal webs to explore inter-connections. Chapman also advocates for using counter-</w:t>
      </w:r>
      <w:proofErr w:type="spellStart"/>
      <w:r>
        <w:rPr>
          <w:rFonts w:ascii="Times New Roman" w:eastAsia="Times New Roman" w:hAnsi="Times New Roman" w:cs="Times New Roman"/>
          <w:sz w:val="24"/>
          <w:szCs w:val="24"/>
        </w:rPr>
        <w:t>factuals</w:t>
      </w:r>
      <w:proofErr w:type="spellEnd"/>
      <w:r>
        <w:rPr>
          <w:rFonts w:ascii="Times New Roman" w:eastAsia="Times New Roman" w:hAnsi="Times New Roman" w:cs="Times New Roman"/>
          <w:sz w:val="24"/>
          <w:szCs w:val="24"/>
        </w:rPr>
        <w:t xml:space="preserve"> in the classroom, to encourage students to think evaluatively about what role specific events or people played in causing an event. </w:t>
      </w:r>
    </w:p>
    <w:p w14:paraId="71C8F3AB" w14:textId="77777777" w:rsidR="007A451F" w:rsidRDefault="007A451F" w:rsidP="007A451F">
      <w:pPr>
        <w:spacing w:line="480" w:lineRule="auto"/>
        <w:rPr>
          <w:rFonts w:ascii="Times New Roman" w:eastAsia="Times New Roman" w:hAnsi="Times New Roman" w:cs="Times New Roman"/>
          <w:sz w:val="24"/>
          <w:szCs w:val="24"/>
        </w:rPr>
      </w:pPr>
    </w:p>
    <w:p w14:paraId="4538D20B"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concept of historical empathy is a contentious but important one, which is not about identifying or sympathising with people in the past but is more concerned with coming to understand people’s actions in their own context (Davis et al, 2001). Cunningham’s (2004) research found that there was often confusion in how teachers engaged with the notion of empathy, sometimes asking students to imagine how they would feel (‘what would you think in this situation?’) and sometimes asking what the people in history might have felt (‘how did they feel in that situation?’). One of the teachers in her study, Ms Joslin, had almost banished the ‘</w:t>
      </w:r>
      <w:proofErr w:type="gramStart"/>
      <w:r>
        <w:rPr>
          <w:rFonts w:ascii="Times New Roman" w:eastAsia="Times New Roman" w:hAnsi="Times New Roman" w:cs="Times New Roman"/>
          <w:sz w:val="24"/>
          <w:szCs w:val="24"/>
        </w:rPr>
        <w:t>you</w:t>
      </w:r>
      <w:proofErr w:type="gramEnd"/>
      <w:r>
        <w:rPr>
          <w:rFonts w:ascii="Times New Roman" w:eastAsia="Times New Roman" w:hAnsi="Times New Roman" w:cs="Times New Roman"/>
          <w:sz w:val="24"/>
          <w:szCs w:val="24"/>
        </w:rPr>
        <w:t xml:space="preserve">’ questions when teaching about empathy, and always referred to </w:t>
      </w:r>
      <w:proofErr w:type="gramStart"/>
      <w:r>
        <w:rPr>
          <w:rFonts w:ascii="Times New Roman" w:eastAsia="Times New Roman" w:hAnsi="Times New Roman" w:cs="Times New Roman"/>
          <w:sz w:val="24"/>
          <w:szCs w:val="24"/>
        </w:rPr>
        <w:t>‘they’</w:t>
      </w:r>
      <w:proofErr w:type="gramEnd"/>
      <w:r>
        <w:rPr>
          <w:rFonts w:ascii="Times New Roman" w:eastAsia="Times New Roman" w:hAnsi="Times New Roman" w:cs="Times New Roman"/>
          <w:sz w:val="24"/>
          <w:szCs w:val="24"/>
        </w:rPr>
        <w:t xml:space="preserve"> and ‘them’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signal she wanted the students to focus on evidence-informed, contextual reasoning, rather than emotional imagination. By adopting subtle pedagogic changes, the teacher is clearly pushing students towards a specific form of historical empathy. By contrast, in Husbands and Pendry’s (2000) research, teachers embraced imaginative empathetic tasks, but used high-level dialogic questioning to feed in information and prompts, to help move </w:t>
      </w:r>
      <w:r>
        <w:rPr>
          <w:rFonts w:ascii="Times New Roman" w:eastAsia="Times New Roman" w:hAnsi="Times New Roman" w:cs="Times New Roman"/>
          <w:sz w:val="24"/>
          <w:szCs w:val="24"/>
        </w:rPr>
        <w:lastRenderedPageBreak/>
        <w:t xml:space="preserve">students beyond simplistic ‘what would I do?’ type responses to think about ‘what would I do if I were Queen Elizabeth in 1587?’ (p.133). </w:t>
      </w:r>
    </w:p>
    <w:p w14:paraId="2FDED1A1" w14:textId="77777777" w:rsidR="007A451F" w:rsidRDefault="007A451F" w:rsidP="007A451F">
      <w:pPr>
        <w:spacing w:line="480" w:lineRule="auto"/>
        <w:rPr>
          <w:rFonts w:ascii="Times New Roman" w:eastAsia="Times New Roman" w:hAnsi="Times New Roman" w:cs="Times New Roman"/>
          <w:sz w:val="24"/>
          <w:szCs w:val="24"/>
        </w:rPr>
      </w:pPr>
    </w:p>
    <w:p w14:paraId="121CDAF8"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point with </w:t>
      </w:r>
      <w:proofErr w:type="gramStart"/>
      <w:r>
        <w:rPr>
          <w:rFonts w:ascii="Times New Roman" w:eastAsia="Times New Roman" w:hAnsi="Times New Roman" w:cs="Times New Roman"/>
          <w:sz w:val="24"/>
          <w:szCs w:val="24"/>
        </w:rPr>
        <w:t>both of these</w:t>
      </w:r>
      <w:proofErr w:type="gramEnd"/>
      <w:r>
        <w:rPr>
          <w:rFonts w:ascii="Times New Roman" w:eastAsia="Times New Roman" w:hAnsi="Times New Roman" w:cs="Times New Roman"/>
          <w:sz w:val="24"/>
          <w:szCs w:val="24"/>
        </w:rPr>
        <w:t xml:space="preserve"> examples is not that there is one way to teach these concepts, but that the teachers devise teaching strategies with conceptual learning in mind. Citizenship teachers may well recognise the two historical concepts we have illustrated as being particularly relevant to them, and we would suggest that there is some scope for learning across the school subject divide – citizenship, after all, is also concerned with developing deep understanding of how the world looks from other people’s perspective and understanding the causes of events. One could argue that causal understanding is an essential dimension to political reasoning – we must have some idea of what is causing a problem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conceive of an action that might disrupt and improve the situation. </w:t>
      </w:r>
    </w:p>
    <w:p w14:paraId="78090886" w14:textId="77777777" w:rsidR="007A451F" w:rsidRDefault="007A451F" w:rsidP="007A451F">
      <w:pPr>
        <w:spacing w:line="480" w:lineRule="auto"/>
        <w:rPr>
          <w:rFonts w:ascii="Times New Roman" w:eastAsia="Times New Roman" w:hAnsi="Times New Roman" w:cs="Times New Roman"/>
          <w:sz w:val="24"/>
          <w:szCs w:val="24"/>
        </w:rPr>
      </w:pPr>
    </w:p>
    <w:p w14:paraId="0D98F1DF"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relation to citizenship, McCowan (2009) makes a broader point by distinguishing between teaching approaches that seek congruence between the teaching and learning activities adopted and the models of citizenship espoused and those that, by contract, embody a disconnect, or even contradiction, between the content and the process. In the first category he considers programmes that espouse social harmony and inclusion and use activities that bring teachers and students together to negotiate difficulties and devise agreements; or programmes that focus on consultation and representation and link to school council forums. In the second category he considers a voting programme, which is taught through traditional lecture-style input, with little connection to politics. It is perfectly possible that the latter programme helps students develop some aspects of knowledge about voting, but McCowan argues the other approaches are much more powerful in potentially securing changed citizenship awareness and action. Here he builds directly on a Deweyan tradition in </w:t>
      </w:r>
      <w:r>
        <w:rPr>
          <w:rFonts w:ascii="Times New Roman" w:eastAsia="Times New Roman" w:hAnsi="Times New Roman" w:cs="Times New Roman"/>
          <w:sz w:val="24"/>
          <w:szCs w:val="24"/>
        </w:rPr>
        <w:lastRenderedPageBreak/>
        <w:t>curriculum design that recognises ‘ends and means cannot always be divorced… Content and learning experiences cannot always be separated…’ (Taylor &amp; Richards, 1985: 63).</w:t>
      </w:r>
    </w:p>
    <w:p w14:paraId="3F83AEC9" w14:textId="77777777" w:rsidR="007A451F" w:rsidRDefault="007A451F" w:rsidP="007A451F">
      <w:pPr>
        <w:spacing w:line="480" w:lineRule="auto"/>
        <w:rPr>
          <w:rFonts w:ascii="Times New Roman" w:eastAsia="Times New Roman" w:hAnsi="Times New Roman" w:cs="Times New Roman"/>
          <w:sz w:val="24"/>
          <w:szCs w:val="24"/>
        </w:rPr>
      </w:pPr>
    </w:p>
    <w:p w14:paraId="39D52664"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We can illustrate this with two concepts, drawn from citizenship education practices and citizenship theory. First, the concept of deliberation has emerged as a distinctive aspect of political theory and political science since the 1990s (</w:t>
      </w:r>
      <w:proofErr w:type="spellStart"/>
      <w:r>
        <w:rPr>
          <w:rFonts w:ascii="Times New Roman" w:eastAsia="Times New Roman" w:hAnsi="Times New Roman" w:cs="Times New Roman"/>
          <w:sz w:val="24"/>
          <w:szCs w:val="24"/>
        </w:rPr>
        <w:t>Dryzek</w:t>
      </w:r>
      <w:proofErr w:type="spellEnd"/>
      <w:r>
        <w:rPr>
          <w:rFonts w:ascii="Times New Roman" w:eastAsia="Times New Roman" w:hAnsi="Times New Roman" w:cs="Times New Roman"/>
          <w:sz w:val="24"/>
          <w:szCs w:val="24"/>
        </w:rPr>
        <w:t xml:space="preserve">, 2002) which has its counterpart in pedagogic activities related to debate, deliberation, controversial issues pedagogy and other forms of classroom talk. Researchers have documented the impact of using formal deliberative processes in the classroom, such as deliberative polling (Latimer &amp; Hempson, 2012) and explored how classrooms can be developed into deliberative spaces, where inclusion, productive talk, and participation are valued (Barton &amp; Ho, 2023; Jerome et al, 2021). Levine (2018) has drawn a subtle distinction between the classroom as a space for simulated as opposed to real deliberations about public policy issues (because they cannot influence the policy decision), which further suggests teachers could benefit from exploring opportunities within their institution for genuine deliberation (see Kennedy &amp; Pek, 2022 for a university-related example of student participation in decision-making). There is </w:t>
      </w:r>
      <w:proofErr w:type="gramStart"/>
      <w:r>
        <w:rPr>
          <w:rFonts w:ascii="Times New Roman" w:eastAsia="Times New Roman" w:hAnsi="Times New Roman" w:cs="Times New Roman"/>
          <w:sz w:val="24"/>
          <w:szCs w:val="24"/>
        </w:rPr>
        <w:t>an international evidence</w:t>
      </w:r>
      <w:proofErr w:type="gramEnd"/>
      <w:r>
        <w:rPr>
          <w:rFonts w:ascii="Times New Roman" w:eastAsia="Times New Roman" w:hAnsi="Times New Roman" w:cs="Times New Roman"/>
          <w:sz w:val="24"/>
          <w:szCs w:val="24"/>
        </w:rPr>
        <w:t xml:space="preserve"> base about the extent to which teachers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establish an ‘open classroom climate’ in which exploratory talk is valued, and this is generally correlated with positive student attitudes and behaviour in relation to citizenship (</w:t>
      </w:r>
      <w:proofErr w:type="spellStart"/>
      <w:r>
        <w:rPr>
          <w:rFonts w:ascii="Times New Roman" w:eastAsia="Times New Roman" w:hAnsi="Times New Roman" w:cs="Times New Roman"/>
          <w:sz w:val="24"/>
          <w:szCs w:val="24"/>
        </w:rPr>
        <w:t>Maurissen</w:t>
      </w:r>
      <w:proofErr w:type="spellEnd"/>
      <w:r>
        <w:rPr>
          <w:rFonts w:ascii="Times New Roman" w:eastAsia="Times New Roman" w:hAnsi="Times New Roman" w:cs="Times New Roman"/>
          <w:sz w:val="24"/>
          <w:szCs w:val="24"/>
        </w:rPr>
        <w:t xml:space="preserve"> et al, 2018). </w:t>
      </w:r>
    </w:p>
    <w:p w14:paraId="412EAE35" w14:textId="77777777" w:rsidR="007A451F" w:rsidRDefault="007A451F" w:rsidP="007A451F">
      <w:pPr>
        <w:spacing w:line="480" w:lineRule="auto"/>
        <w:rPr>
          <w:rFonts w:ascii="Times New Roman" w:eastAsia="Times New Roman" w:hAnsi="Times New Roman" w:cs="Times New Roman"/>
          <w:sz w:val="24"/>
          <w:szCs w:val="24"/>
        </w:rPr>
      </w:pPr>
    </w:p>
    <w:p w14:paraId="36DE05F7"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citizenship teachers use such strategies to encourage discussion they are doing more than simply using a teaching method to engage students in processing information. They are promoting a form of public engagement that involves a commitment to engage in rational debate, where participants offer reasons for their views, listen respectfully to others, engage seriously with evidence, and approach matters with an open mind (Cunningham, </w:t>
      </w:r>
      <w:r>
        <w:rPr>
          <w:rFonts w:ascii="Times New Roman" w:eastAsia="Times New Roman" w:hAnsi="Times New Roman" w:cs="Times New Roman"/>
          <w:sz w:val="24"/>
          <w:szCs w:val="24"/>
        </w:rPr>
        <w:lastRenderedPageBreak/>
        <w:t xml:space="preserve">2002). Central to the claims of deliberative democrats is the notion that deliberation can help citizens to transform their thinking through talk and, if it cannot always lead to a consensus on policy issues, at least it can help citizens understand each other better and live with the limitations of whatever decisions can be reached (Cunningham, 2002). Political scientists have operationalised these ideas to measure the extent to which forms of talk are truly deliberative, in formal parliamentary contexts (Steiner et al, 2004), in formal deliberative fora, such as citizens’ juries (Street et al, 2014) and in informal conversations between citizens (Steiner et al, 2017). Similarly, Jerome et al. (2020) have devised a classroom observation proforma to encourage teachers to review the extent to which their classroom comes close to embodying the principles of deliberation: participation; a commitment to developing informed views; respect for those affected by the issue under discussion; respect for others in the classroom; constructive responses; and a collective search for knowledge. </w:t>
      </w:r>
    </w:p>
    <w:p w14:paraId="7E979EFB" w14:textId="77777777" w:rsidR="007A451F" w:rsidRDefault="007A451F" w:rsidP="007A451F">
      <w:pPr>
        <w:spacing w:line="480" w:lineRule="auto"/>
        <w:rPr>
          <w:rFonts w:ascii="Times New Roman" w:eastAsia="Times New Roman" w:hAnsi="Times New Roman" w:cs="Times New Roman"/>
          <w:sz w:val="24"/>
          <w:szCs w:val="24"/>
        </w:rPr>
      </w:pPr>
    </w:p>
    <w:p w14:paraId="19BB039D"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well as making decisions about how to go about organising classroom discussions, teachers are also concerned with helping students to experience various forms of active citizenship. A handbook of guidance, written collaboratively by twenty citizenship teachers (ACT, 2024), states that they have four goals in relation to active citizenship: to develop students’ sense of agency; build their political understanding of how power works; build awareness of how political action can resolve conflict; and build their capacity to participate. These teachers advocate a blend of teaching activities, including direct instruction about various forms of action; evaluating case studies to review the connection between actions and outcomes; engaging in simulations; and undertaking real projects. In this latter category they distinguish between short-term responsive projects (such as responding to an event in the news); short partial projects (such as completing a template letter as part of a national campaign); full projects (where students initiate action); or long-term projects (where the </w:t>
      </w:r>
      <w:r>
        <w:rPr>
          <w:rFonts w:ascii="Times New Roman" w:eastAsia="Times New Roman" w:hAnsi="Times New Roman" w:cs="Times New Roman"/>
          <w:sz w:val="24"/>
          <w:szCs w:val="24"/>
        </w:rPr>
        <w:lastRenderedPageBreak/>
        <w:t xml:space="preserve">school has an on-going programme, for example, sponsoring students abroad). This list hints at the range of options available to a citizenship teacher, and their decisions about which approach to adopt for a specific piece of work will be informed by a range of factors, including how students engaged with other opportunities. One of the teacher-authors, Viv Lamb, reflects that during active citizenship projects she adopts a distinctive coaching role which calls for ‘relinquishing traditional teacher control methods’ and projecting a kind of benign slightly detached presence (ACT, 2024: 75). She monitors the room to work out who might need help later and is available for consultation if students need assistance, but tries to recede into the background, while student group work takes centre stage. Nicola Foyle, by contrast, shares her experience of working on the Citizenship GCSE in a special school for students with autistic spectrum disorders, and discusses a more hands on role, providing detailed advice about breaking projects into small manageable chunks, and actively steering students through the process (pp. 85-6). </w:t>
      </w:r>
    </w:p>
    <w:p w14:paraId="36865E66" w14:textId="77777777" w:rsidR="007A451F" w:rsidRDefault="007A451F" w:rsidP="007A451F">
      <w:pPr>
        <w:spacing w:line="480" w:lineRule="auto"/>
        <w:rPr>
          <w:rFonts w:ascii="Times New Roman" w:eastAsia="Times New Roman" w:hAnsi="Times New Roman" w:cs="Times New Roman"/>
          <w:sz w:val="24"/>
          <w:szCs w:val="24"/>
        </w:rPr>
      </w:pPr>
    </w:p>
    <w:p w14:paraId="5BE04A04"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Our general point here is that decisions about pedagogy are informed by deeper reasoning than merely selecting varied activities to engage students in a lesson. The decisions teachers make are based on a deep sense of the aims of citizenship education, a commitment to model outcomes within learning processes, and a sense of what will work for their students in their specific school context. We turn next to consider the role of contextual knowledge.</w:t>
      </w:r>
    </w:p>
    <w:p w14:paraId="468468EC" w14:textId="77777777" w:rsidR="007A451F" w:rsidRDefault="007A451F" w:rsidP="007A451F">
      <w:pPr>
        <w:spacing w:line="480" w:lineRule="auto"/>
        <w:rPr>
          <w:rFonts w:ascii="Times New Roman" w:eastAsia="Times New Roman" w:hAnsi="Times New Roman" w:cs="Times New Roman"/>
          <w:sz w:val="24"/>
          <w:szCs w:val="24"/>
        </w:rPr>
      </w:pPr>
    </w:p>
    <w:p w14:paraId="60BA0E08" w14:textId="77777777" w:rsidR="007A451F" w:rsidRDefault="007A451F" w:rsidP="007A451F">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Contextual knowledge</w:t>
      </w:r>
    </w:p>
    <w:p w14:paraId="5CB9431D"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Shulman (1987) wrote about teachers’ knowledge of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their learners and their characteristics and (ii) knowledge of community contexts, as separate aspects of professional knowledge. In the context of citizenship education, we think it makes sense to bring these issues together, largely because students grow up in communities and bring aspects of their communities into </w:t>
      </w:r>
      <w:r>
        <w:rPr>
          <w:rFonts w:ascii="Times New Roman" w:eastAsia="Times New Roman" w:hAnsi="Times New Roman" w:cs="Times New Roman"/>
          <w:sz w:val="24"/>
          <w:szCs w:val="24"/>
        </w:rPr>
        <w:lastRenderedPageBreak/>
        <w:t xml:space="preserve">school with them. Thinking about student preconceptions, misconceptions, and prior beliefs about aspects of citizenship inevitably reflects the beliefs and experiences of their communities. If we think about these as the starting points for students’ learning journeys, then it is important that teachers come to know these communities. </w:t>
      </w:r>
    </w:p>
    <w:p w14:paraId="4A509331" w14:textId="77777777" w:rsidR="007A451F" w:rsidRDefault="007A451F" w:rsidP="007A451F">
      <w:pPr>
        <w:spacing w:line="480" w:lineRule="auto"/>
        <w:rPr>
          <w:rFonts w:ascii="Times New Roman" w:eastAsia="Times New Roman" w:hAnsi="Times New Roman" w:cs="Times New Roman"/>
          <w:sz w:val="24"/>
          <w:szCs w:val="24"/>
        </w:rPr>
      </w:pPr>
    </w:p>
    <w:p w14:paraId="102B889C"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some extent we draw on the American tradition of ‘culturally responsive teaching’, as popularised by Ladson Billings (2009) and Gay (2010). In that context, the concept arose from thinking about how teachers could address racial inequalities in American schools, and Ladson-Billings describes successful teachers as being committed to developing their own cultural competence, using students’ culture as a vehicle for learning, and cultivating students’ own socio-political awareness. Norton and Bentley (2006) argue that the overall approach can be readily extended to incorporate an inter-sectional understanding of young people’s lives, including issues related to class, language and religion; and Suppers (2024) has extended this further by considering geographical location, specifically rurality, as distinctive in informing citizenship. In the context of citizenship this means building one’s knowledge about the lives of students, the conditions in which they live, the political issues that affect them, and the types of community politics that students and their families may experience. </w:t>
      </w:r>
    </w:p>
    <w:p w14:paraId="712478EC" w14:textId="77777777" w:rsidR="007A451F" w:rsidRDefault="007A451F" w:rsidP="007A451F">
      <w:pPr>
        <w:spacing w:line="480" w:lineRule="auto"/>
        <w:rPr>
          <w:rFonts w:ascii="Times New Roman" w:eastAsia="Times New Roman" w:hAnsi="Times New Roman" w:cs="Times New Roman"/>
          <w:sz w:val="24"/>
          <w:szCs w:val="24"/>
        </w:rPr>
      </w:pPr>
    </w:p>
    <w:p w14:paraId="1F3FF50A"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Clay and Rubin (2019: 161) argue that:</w:t>
      </w:r>
    </w:p>
    <w:p w14:paraId="73A84B7C" w14:textId="77777777" w:rsidR="007A451F" w:rsidRDefault="007A451F" w:rsidP="007A451F">
      <w:pPr>
        <w:spacing w:line="480" w:lineRule="auto"/>
        <w:ind w:left="567" w:right="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communities historically shaped by processes of… segregation; police repression; and lack of access to equitable housing, jobs, and </w:t>
      </w:r>
      <w:proofErr w:type="spellStart"/>
      <w:r>
        <w:rPr>
          <w:rFonts w:ascii="Times New Roman" w:eastAsia="Times New Roman" w:hAnsi="Times New Roman" w:cs="Times New Roman"/>
          <w:sz w:val="24"/>
          <w:szCs w:val="24"/>
        </w:rPr>
        <w:t>labor</w:t>
      </w:r>
      <w:proofErr w:type="spellEnd"/>
      <w:r>
        <w:rPr>
          <w:rFonts w:ascii="Times New Roman" w:eastAsia="Times New Roman" w:hAnsi="Times New Roman" w:cs="Times New Roman"/>
          <w:sz w:val="24"/>
          <w:szCs w:val="24"/>
        </w:rPr>
        <w:t>-rights, young people find very little of this content reflected in their school-based learning. These societal ‘civics lessons’ indicate the need to move… toward a more relevant… approach to civic learning in school.</w:t>
      </w:r>
    </w:p>
    <w:p w14:paraId="1A64BF7F"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Drawing on this knowledge, teachers can make decisions about which issues to prioritise, what approaches might be most fruitful, what community groups may be available to work with, and what kinds of citizenship experiences students already have, so they can incorporate these in lessons. But our focus here is not only on what might be described as deprived or marginalised communities, Ferguson and Brett (2023) have also illustrated how an understanding of the privileged lives of students in international schools is essential for teachers to devise meaningful and impactful citizenship provision. There is also a form of reflexivity required on the part of teachers, especially when they do not come from the same communities as their students, so they become more aware of the preconceptions they may have about their students and their families. Above all, as Enright et al. (2022: 69) illustrate, the approach is most useful where teachers find ways to ‘enact culturally sustaining practices’, where teachers devise lessons that are relevant to students, so they see themselves within the citizenship curriculum, understand the relevance of the learning to their own emerging sense of citizenship, and have the opportunity to reflect on their lived experiences in lessons. </w:t>
      </w:r>
    </w:p>
    <w:p w14:paraId="261330E6" w14:textId="77777777" w:rsidR="007A451F" w:rsidRDefault="007A451F" w:rsidP="007A451F">
      <w:pPr>
        <w:spacing w:line="480" w:lineRule="auto"/>
        <w:rPr>
          <w:rFonts w:ascii="Times New Roman" w:eastAsia="Times New Roman" w:hAnsi="Times New Roman" w:cs="Times New Roman"/>
          <w:sz w:val="24"/>
          <w:szCs w:val="24"/>
        </w:rPr>
      </w:pPr>
    </w:p>
    <w:p w14:paraId="49479F27"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contextual knowledge thus helps teachers to think about their practice in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pragmatic ways. It helps them appreciate how best to frame the curriculum – to consider what perspectives may seem intuitive to young people, and which may seem challenging. It may help them to avoid adopting an unconscious deficit model, or alternatively, assuming an awareness that does not exist among the young people in their classroom. Awareness of the local context may generate practical case studies, help identify guest speakers and alert teachers to opportunities for active citizenship. And it will help to ensure learning is relevant and engaging.</w:t>
      </w:r>
    </w:p>
    <w:p w14:paraId="5BB16C77" w14:textId="77777777" w:rsidR="007A451F" w:rsidRDefault="007A451F" w:rsidP="007A451F">
      <w:pPr>
        <w:spacing w:line="480" w:lineRule="auto"/>
        <w:rPr>
          <w:rFonts w:ascii="Times New Roman" w:eastAsia="Times New Roman" w:hAnsi="Times New Roman" w:cs="Times New Roman"/>
          <w:sz w:val="24"/>
          <w:szCs w:val="24"/>
        </w:rPr>
      </w:pPr>
    </w:p>
    <w:p w14:paraId="409AEE24" w14:textId="77777777" w:rsidR="007A451F" w:rsidRDefault="007A451F" w:rsidP="007A451F">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lastRenderedPageBreak/>
        <w:t>Policy knowledge</w:t>
      </w:r>
    </w:p>
    <w:p w14:paraId="12AEBDE9"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Shulman (1987) also argued that teacher’s knowledge incorporated a knowledge of the education system (with the constraints and affordances that brings) and the broader curriculum, which would help them make connections between subjects, and to place their own contribution into the broader framework of what schooling was for. For citizenship teachers we have adopted a more expansive approach, acknowledging the importance of understanding policy quite broadly – that includes the curriculum, but also the wider guidance and legislation that impacts on schools, and the wider public policy debates that form the subject matter of citizenship. This is important when we bear in mind the distinction between powerful knowledge and knowledge of the powerful. The citizenship curriculum will often be constructed to reflect the </w:t>
      </w:r>
      <w:proofErr w:type="gramStart"/>
      <w:r>
        <w:rPr>
          <w:rFonts w:ascii="Times New Roman" w:eastAsia="Times New Roman" w:hAnsi="Times New Roman" w:cs="Times New Roman"/>
          <w:sz w:val="24"/>
          <w:szCs w:val="24"/>
        </w:rPr>
        <w:t>particular interests</w:t>
      </w:r>
      <w:proofErr w:type="gramEnd"/>
      <w:r>
        <w:rPr>
          <w:rFonts w:ascii="Times New Roman" w:eastAsia="Times New Roman" w:hAnsi="Times New Roman" w:cs="Times New Roman"/>
          <w:sz w:val="24"/>
          <w:szCs w:val="24"/>
        </w:rPr>
        <w:t xml:space="preserve"> and worldviews of those empowered to write the curriculum (Beck, 2013). We can illustrate this in Table 3.1, where we illustrate how the definitions of areas of the curriculum changed to reflect the ideological approach of the government.</w:t>
      </w:r>
    </w:p>
    <w:p w14:paraId="54B85D86" w14:textId="77777777" w:rsidR="007A451F" w:rsidRDefault="007A451F" w:rsidP="007A451F">
      <w:pPr>
        <w:spacing w:line="480" w:lineRule="auto"/>
        <w:rPr>
          <w:rFonts w:ascii="Times New Roman" w:eastAsia="Times New Roman" w:hAnsi="Times New Roman" w:cs="Times New Roman"/>
          <w:sz w:val="24"/>
          <w:szCs w:val="24"/>
        </w:rPr>
      </w:pPr>
    </w:p>
    <w:p w14:paraId="3FE8BB44"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3.1: Curriculum changes</w:t>
      </w:r>
    </w:p>
    <w:tbl>
      <w:tblPr>
        <w:tblW w:w="9016" w:type="dxa"/>
        <w:tblBorders>
          <w:top w:val="nil"/>
          <w:left w:val="nil"/>
          <w:bottom w:val="nil"/>
          <w:right w:val="nil"/>
          <w:insideH w:val="single" w:sz="4" w:space="0" w:color="000000"/>
          <w:insideV w:val="nil"/>
        </w:tblBorders>
        <w:tblLayout w:type="fixed"/>
        <w:tblLook w:val="0400" w:firstRow="0" w:lastRow="0" w:firstColumn="0" w:lastColumn="0" w:noHBand="0" w:noVBand="1"/>
      </w:tblPr>
      <w:tblGrid>
        <w:gridCol w:w="4508"/>
        <w:gridCol w:w="4508"/>
      </w:tblGrid>
      <w:tr w:rsidR="007A451F" w14:paraId="089F6357" w14:textId="77777777" w:rsidTr="000317F4">
        <w:tc>
          <w:tcPr>
            <w:tcW w:w="4508" w:type="dxa"/>
            <w:tcBorders>
              <w:top w:val="single" w:sz="4" w:space="0" w:color="000000"/>
              <w:bottom w:val="single" w:sz="4" w:space="0" w:color="000000"/>
            </w:tcBorders>
          </w:tcPr>
          <w:p w14:paraId="5E64F485" w14:textId="77777777" w:rsidR="007A451F" w:rsidRDefault="007A451F" w:rsidP="000317F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2007 curriculum </w:t>
            </w:r>
            <w:r>
              <w:rPr>
                <w:rFonts w:ascii="Times New Roman" w:eastAsia="Times New Roman" w:hAnsi="Times New Roman" w:cs="Times New Roman"/>
                <w:sz w:val="24"/>
                <w:szCs w:val="24"/>
              </w:rPr>
              <w:t>(QCA, 2007)</w:t>
            </w:r>
          </w:p>
        </w:tc>
        <w:tc>
          <w:tcPr>
            <w:tcW w:w="4508" w:type="dxa"/>
            <w:tcBorders>
              <w:top w:val="single" w:sz="4" w:space="0" w:color="000000"/>
              <w:bottom w:val="single" w:sz="4" w:space="0" w:color="000000"/>
            </w:tcBorders>
          </w:tcPr>
          <w:p w14:paraId="620583D5" w14:textId="77777777" w:rsidR="007A451F" w:rsidRDefault="007A451F" w:rsidP="000317F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2013 curriculum </w:t>
            </w:r>
            <w:r>
              <w:rPr>
                <w:rFonts w:ascii="Times New Roman" w:eastAsia="Times New Roman" w:hAnsi="Times New Roman" w:cs="Times New Roman"/>
                <w:sz w:val="24"/>
                <w:szCs w:val="24"/>
              </w:rPr>
              <w:t>(DfE, 2013)</w:t>
            </w:r>
          </w:p>
        </w:tc>
      </w:tr>
      <w:tr w:rsidR="007A451F" w14:paraId="5CCF8BF5" w14:textId="77777777" w:rsidTr="000317F4">
        <w:tc>
          <w:tcPr>
            <w:tcW w:w="4508" w:type="dxa"/>
            <w:tcBorders>
              <w:top w:val="single" w:sz="4" w:space="0" w:color="000000"/>
              <w:bottom w:val="single" w:sz="4" w:space="0" w:color="000000"/>
            </w:tcBorders>
          </w:tcPr>
          <w:p w14:paraId="65B2B5BA" w14:textId="77777777" w:rsidR="007A451F" w:rsidRDefault="007A451F" w:rsidP="000317F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‘Human rights’ (KS3)</w:t>
            </w:r>
          </w:p>
        </w:tc>
        <w:tc>
          <w:tcPr>
            <w:tcW w:w="4508" w:type="dxa"/>
            <w:tcBorders>
              <w:top w:val="single" w:sz="4" w:space="0" w:color="000000"/>
              <w:bottom w:val="single" w:sz="4" w:space="0" w:color="000000"/>
            </w:tcBorders>
          </w:tcPr>
          <w:p w14:paraId="13F29875" w14:textId="77777777" w:rsidR="007A451F" w:rsidRDefault="007A451F" w:rsidP="000317F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‘Precious liberties’ (KS3)</w:t>
            </w:r>
          </w:p>
        </w:tc>
      </w:tr>
      <w:tr w:rsidR="007A451F" w14:paraId="341BD864" w14:textId="77777777" w:rsidTr="000317F4">
        <w:tc>
          <w:tcPr>
            <w:tcW w:w="4508" w:type="dxa"/>
            <w:tcBorders>
              <w:top w:val="single" w:sz="4" w:space="0" w:color="000000"/>
              <w:bottom w:val="single" w:sz="4" w:space="0" w:color="000000"/>
            </w:tcBorders>
          </w:tcPr>
          <w:p w14:paraId="21390C79" w14:textId="77777777" w:rsidR="007A451F" w:rsidRDefault="007A451F" w:rsidP="000317F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‘Learn to explore creative approaches to taking action on problems and issues… work individually and with others to negotiate, plan and take action on citizenship issues to try to influence others, bring about change or resist unwanted change… and analyse the impact of their actions.’</w:t>
            </w:r>
          </w:p>
        </w:tc>
        <w:tc>
          <w:tcPr>
            <w:tcW w:w="4508" w:type="dxa"/>
            <w:tcBorders>
              <w:top w:val="single" w:sz="4" w:space="0" w:color="000000"/>
              <w:bottom w:val="single" w:sz="4" w:space="0" w:color="000000"/>
            </w:tcBorders>
          </w:tcPr>
          <w:p w14:paraId="24A048F6" w14:textId="77777777" w:rsidR="007A451F" w:rsidRDefault="007A451F" w:rsidP="000317F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‘Take informed action’ and learn about ‘the ways in which citizens work together to improve their communities.’</w:t>
            </w:r>
          </w:p>
        </w:tc>
      </w:tr>
    </w:tbl>
    <w:p w14:paraId="2B4931B2" w14:textId="77777777" w:rsidR="007A451F" w:rsidRDefault="007A451F" w:rsidP="007A451F">
      <w:pPr>
        <w:spacing w:line="480" w:lineRule="auto"/>
        <w:rPr>
          <w:rFonts w:ascii="Times New Roman" w:eastAsia="Times New Roman" w:hAnsi="Times New Roman" w:cs="Times New Roman"/>
          <w:sz w:val="24"/>
          <w:szCs w:val="24"/>
        </w:rPr>
      </w:pPr>
    </w:p>
    <w:p w14:paraId="32044A70"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Teachers need to exercise their own judgement in interpreting and enacting such curriculum documents in ways which are relevant in their contexts, and which incorporate important insights, experiences, and perspectives which may have been omitted from the formal curriculum (deliberately or through oversight). </w:t>
      </w:r>
    </w:p>
    <w:p w14:paraId="69A87D2E" w14:textId="77777777" w:rsidR="007A451F" w:rsidRDefault="007A451F" w:rsidP="007A451F">
      <w:pPr>
        <w:spacing w:line="480" w:lineRule="auto"/>
        <w:rPr>
          <w:rFonts w:ascii="Times New Roman" w:eastAsia="Times New Roman" w:hAnsi="Times New Roman" w:cs="Times New Roman"/>
          <w:sz w:val="24"/>
          <w:szCs w:val="24"/>
        </w:rPr>
      </w:pPr>
    </w:p>
    <w:p w14:paraId="7FD74D63"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have a sense of what their subject is and how it should be taught, and they bring this into professional dialogue with official curriculum messages. Like many public service workers, sometimes they may refuse or actively resist changes, but most often teachers will simply ‘revise’ strategies, perhaps selectively interpreting some phrases, prioritising some elements over others, or augmenting requirements with additional material (Barnes &amp; Prior, 2009). For example, in the contrasting extracts from the national curriculum for citizenship in Table 3.1, teachers may choose simply to continue with the old curriculum, deciding that nothing in 2007 contradicts anything specified in 2013. </w:t>
      </w:r>
    </w:p>
    <w:p w14:paraId="01C0BC97" w14:textId="77777777" w:rsidR="007A451F" w:rsidRDefault="007A451F" w:rsidP="007A451F">
      <w:pPr>
        <w:spacing w:line="480" w:lineRule="auto"/>
        <w:rPr>
          <w:rFonts w:ascii="Times New Roman" w:eastAsia="Times New Roman" w:hAnsi="Times New Roman" w:cs="Times New Roman"/>
          <w:sz w:val="24"/>
          <w:szCs w:val="24"/>
        </w:rPr>
      </w:pPr>
    </w:p>
    <w:p w14:paraId="5A0F9670"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citizenship is marginalised, as it often is (and as it is in England at the time of writing), teachers are often also alert to other policy agendas that will help them maintain a curricular foothold for citizenship education or to extend their reach beyond a small timetable slot. For example, the Prevent Duty and promotion of fundamental British values </w:t>
      </w:r>
      <w:proofErr w:type="gramStart"/>
      <w:r>
        <w:rPr>
          <w:rFonts w:ascii="Times New Roman" w:eastAsia="Times New Roman" w:hAnsi="Times New Roman" w:cs="Times New Roman"/>
          <w:sz w:val="24"/>
          <w:szCs w:val="24"/>
        </w:rPr>
        <w:t>has</w:t>
      </w:r>
      <w:proofErr w:type="gramEnd"/>
      <w:r>
        <w:rPr>
          <w:rFonts w:ascii="Times New Roman" w:eastAsia="Times New Roman" w:hAnsi="Times New Roman" w:cs="Times New Roman"/>
          <w:sz w:val="24"/>
          <w:szCs w:val="24"/>
        </w:rPr>
        <w:t xml:space="preserve"> been seized on by some citizenship teachers as a reason to lobby for citizenship in the curriculum (Vincent, 2019). More broadly, public discussions about conspiracy theories, online misogyny, disinformation, online security, human rights, anti-racism, knife crime, community cohesion etc. may all provide a platform from which citizenship teachers can lobby for more curriculum space. Similarly, there are opportunities across the school which will often be co-opted by citizenship teachers to raise money for charities, run mock elections, organise class and school councils, manage the school newspaper, run parent </w:t>
      </w:r>
      <w:r>
        <w:rPr>
          <w:rFonts w:ascii="Times New Roman" w:eastAsia="Times New Roman" w:hAnsi="Times New Roman" w:cs="Times New Roman"/>
          <w:sz w:val="24"/>
          <w:szCs w:val="24"/>
        </w:rPr>
        <w:lastRenderedPageBreak/>
        <w:t xml:space="preserve">groups, liaise with community groups etc. Each of these could be run without a connection to citizenship, but by reframing them as citizenship opportunities, the citizenship teacher can secure a bigger impact for their agenda. </w:t>
      </w:r>
    </w:p>
    <w:p w14:paraId="230B3FA0" w14:textId="77777777" w:rsidR="007A451F" w:rsidRDefault="007A451F" w:rsidP="007A451F">
      <w:pPr>
        <w:spacing w:line="480" w:lineRule="auto"/>
        <w:rPr>
          <w:rFonts w:ascii="Times New Roman" w:eastAsia="Times New Roman" w:hAnsi="Times New Roman" w:cs="Times New Roman"/>
          <w:sz w:val="24"/>
          <w:szCs w:val="24"/>
        </w:rPr>
      </w:pPr>
    </w:p>
    <w:p w14:paraId="0194AE0D" w14:textId="77777777" w:rsidR="007A451F" w:rsidRDefault="007A451F" w:rsidP="007A45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 small study of trainee citizenship teachers, Bhargava and Jerome (2020) noted that their student teachers were developing a sense of themselves as political agents in several ways. What we have described so far is a kind of micro-political perspective, in which citizenship teachers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be politically literate to maximise the opportunities for citizenship education in their school. But there is also a broader sense in which these new teachers perceived themselves as political agents in a politicised educational landscape. This seemed inevitable for some of them as they drew on a ‘personal interpretative framework’ (</w:t>
      </w:r>
      <w:proofErr w:type="spellStart"/>
      <w:r>
        <w:rPr>
          <w:rFonts w:ascii="Times New Roman" w:eastAsia="Times New Roman" w:hAnsi="Times New Roman" w:cs="Times New Roman"/>
          <w:sz w:val="24"/>
          <w:szCs w:val="24"/>
        </w:rPr>
        <w:t>Kelchtermans</w:t>
      </w:r>
      <w:proofErr w:type="spellEnd"/>
      <w:r>
        <w:rPr>
          <w:rFonts w:ascii="Times New Roman" w:eastAsia="Times New Roman" w:hAnsi="Times New Roman" w:cs="Times New Roman"/>
          <w:sz w:val="24"/>
          <w:szCs w:val="24"/>
        </w:rPr>
        <w:t xml:space="preserve">, 2009) in which active citizenship was central to their own identity and professional purpose. This made it impossible not to engage with broader conceptions of the place of students, the role of student voice, and political discourse about young people and citizenship more broadly. To some extent their teaching can be seen as part of this political engagement – teaching citizenship is about more than securing a GCSE pass in Citizenship Studies, for many teachers it also has a political significance in cultivating democratic </w:t>
      </w:r>
      <w:proofErr w:type="gramStart"/>
      <w:r>
        <w:rPr>
          <w:rFonts w:ascii="Times New Roman" w:eastAsia="Times New Roman" w:hAnsi="Times New Roman" w:cs="Times New Roman"/>
          <w:sz w:val="24"/>
          <w:szCs w:val="24"/>
        </w:rPr>
        <w:t>citizenship, and</w:t>
      </w:r>
      <w:proofErr w:type="gramEnd"/>
      <w:r>
        <w:rPr>
          <w:rFonts w:ascii="Times New Roman" w:eastAsia="Times New Roman" w:hAnsi="Times New Roman" w:cs="Times New Roman"/>
          <w:sz w:val="24"/>
          <w:szCs w:val="24"/>
        </w:rPr>
        <w:t xml:space="preserve"> therefore teaching citizenship forms part of a teachers’ own political action.</w:t>
      </w:r>
    </w:p>
    <w:p w14:paraId="3FE5E2CB" w14:textId="77777777" w:rsidR="007A451F" w:rsidRDefault="007A451F" w:rsidP="007A451F">
      <w:pPr>
        <w:spacing w:line="480" w:lineRule="auto"/>
        <w:rPr>
          <w:rFonts w:ascii="Times New Roman" w:eastAsia="Times New Roman" w:hAnsi="Times New Roman" w:cs="Times New Roman"/>
          <w:sz w:val="24"/>
          <w:szCs w:val="24"/>
        </w:rPr>
      </w:pPr>
    </w:p>
    <w:p w14:paraId="713A56D1" w14:textId="77777777" w:rsidR="007A451F" w:rsidRDefault="007A451F" w:rsidP="007A451F">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Conclusion</w:t>
      </w:r>
    </w:p>
    <w:p w14:paraId="662189C2" w14:textId="77777777" w:rsidR="007A451F" w:rsidRDefault="007A451F" w:rsidP="007A451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position is broadly that a large part of what teachers are aiming to do is to help students master the substantive knowledge in their discipline, and to come to appreciate the ways in which such knowledge is established and tested. In asserting this starting point though, we are also alert to the fact that there may be different accounts of the core knowledge for citizenship as well as conflicting interpretations of what counts as a reasonable and defensible </w:t>
      </w:r>
      <w:r>
        <w:rPr>
          <w:rFonts w:ascii="Times New Roman" w:eastAsia="Times New Roman" w:hAnsi="Times New Roman" w:cs="Times New Roman"/>
          <w:sz w:val="24"/>
          <w:szCs w:val="24"/>
        </w:rPr>
        <w:lastRenderedPageBreak/>
        <w:t>argument to establish a proposition. Citizenship teachers must provide a workable account of the subject and aspire to help students understand the competing interpretations within the subject. At the same time as trying to balance these demands, they must also devise ways to keep the students connected to the learning – both in a technical sense of ‘anchoring’ new learning in prior learning and in the motivational sense of helping students to use the knowledge to make sense of their lives and the political issues affecting them. In our subsequent chapters we explore how these types of knowledge help us account for the work of citizenship teachers.</w:t>
      </w:r>
    </w:p>
    <w:p w14:paraId="2FAEBECE" w14:textId="77777777" w:rsidR="007A451F" w:rsidRDefault="007A451F" w:rsidP="007A451F">
      <w:pPr>
        <w:spacing w:line="480" w:lineRule="auto"/>
        <w:rPr>
          <w:rFonts w:ascii="Times New Roman" w:eastAsia="Times New Roman" w:hAnsi="Times New Roman" w:cs="Times New Roman"/>
          <w:sz w:val="24"/>
          <w:szCs w:val="24"/>
        </w:rPr>
      </w:pPr>
    </w:p>
    <w:p w14:paraId="5DDAAAD1" w14:textId="77777777" w:rsidR="007A451F" w:rsidRDefault="007A451F" w:rsidP="007A451F">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References</w:t>
      </w:r>
    </w:p>
    <w:p w14:paraId="28D806CB" w14:textId="77777777" w:rsidR="007A451F" w:rsidRDefault="007A451F" w:rsidP="007A451F">
      <w:pPr>
        <w:spacing w:line="480" w:lineRule="auto"/>
        <w:ind w:left="720" w:hanging="720"/>
        <w:rPr>
          <w:rFonts w:ascii="Times New Roman" w:eastAsia="Times New Roman" w:hAnsi="Times New Roman" w:cs="Times New Roman"/>
          <w:sz w:val="24"/>
          <w:szCs w:val="24"/>
        </w:rPr>
      </w:pPr>
      <w:bookmarkStart w:id="3" w:name="_heading=h.mo1yk4we4v18" w:colFirst="0" w:colLast="0"/>
      <w:bookmarkEnd w:id="3"/>
      <w:r>
        <w:rPr>
          <w:rFonts w:ascii="Times New Roman" w:eastAsia="Times New Roman" w:hAnsi="Times New Roman" w:cs="Times New Roman"/>
          <w:sz w:val="24"/>
          <w:szCs w:val="24"/>
        </w:rPr>
        <w:t xml:space="preserve">ACT (2014). </w:t>
      </w:r>
      <w:r>
        <w:rPr>
          <w:rFonts w:ascii="Times New Roman" w:eastAsia="Times New Roman" w:hAnsi="Times New Roman" w:cs="Times New Roman"/>
          <w:i/>
          <w:iCs/>
          <w:sz w:val="24"/>
          <w:szCs w:val="24"/>
        </w:rPr>
        <w:t>Teaching Active Citizenship: Guidance for teachers.</w:t>
      </w:r>
      <w:r>
        <w:rPr>
          <w:rFonts w:ascii="Times New Roman" w:eastAsia="Times New Roman" w:hAnsi="Times New Roman" w:cs="Times New Roman"/>
          <w:sz w:val="24"/>
          <w:szCs w:val="24"/>
        </w:rPr>
        <w:t xml:space="preserve"> London: Association for Citizenship Teaching.</w:t>
      </w:r>
    </w:p>
    <w:p w14:paraId="02895EAF"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Ausubel, D. P. (1963) </w:t>
      </w:r>
      <w:r>
        <w:rPr>
          <w:rFonts w:ascii="Times New Roman" w:eastAsia="Times New Roman" w:hAnsi="Times New Roman" w:cs="Times New Roman"/>
          <w:i/>
          <w:iCs/>
          <w:sz w:val="24"/>
          <w:szCs w:val="24"/>
        </w:rPr>
        <w:t>The Psychology of Meaningful Verbal Learning</w:t>
      </w:r>
      <w:r>
        <w:rPr>
          <w:rFonts w:ascii="Times New Roman" w:eastAsia="Times New Roman" w:hAnsi="Times New Roman" w:cs="Times New Roman"/>
          <w:sz w:val="24"/>
          <w:szCs w:val="24"/>
        </w:rPr>
        <w:t>, New York: Grune &amp; Stratton.</w:t>
      </w:r>
    </w:p>
    <w:p w14:paraId="6B02173E"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Ausubel, D. P., Novak, J. S. and Hanesian, H. (1978) </w:t>
      </w:r>
      <w:r>
        <w:rPr>
          <w:rFonts w:ascii="Times New Roman" w:eastAsia="Times New Roman" w:hAnsi="Times New Roman" w:cs="Times New Roman"/>
          <w:i/>
          <w:iCs/>
          <w:sz w:val="24"/>
          <w:szCs w:val="24"/>
        </w:rPr>
        <w:t>Educational Psychology: A Cognitive View</w:t>
      </w:r>
      <w:r>
        <w:rPr>
          <w:rFonts w:ascii="Times New Roman" w:eastAsia="Times New Roman" w:hAnsi="Times New Roman" w:cs="Times New Roman"/>
          <w:sz w:val="24"/>
          <w:szCs w:val="24"/>
        </w:rPr>
        <w:t xml:space="preserve"> (2nd edition), New York: Holt, Rinehart &amp; Winston.</w:t>
      </w:r>
    </w:p>
    <w:p w14:paraId="4A42A427"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Banks, J.A., McGee Banks, C.A., Cortes, C.E., Hahn, C.L., Merryfield, M.M., Moodley, K.A., Murphy-Shigematsu, S., Osler, A., Park, C. &amp; Parker, W.C. (2005) </w:t>
      </w:r>
      <w:r>
        <w:rPr>
          <w:rFonts w:ascii="Times New Roman" w:eastAsia="Times New Roman" w:hAnsi="Times New Roman" w:cs="Times New Roman"/>
          <w:i/>
          <w:iCs/>
          <w:sz w:val="24"/>
          <w:szCs w:val="24"/>
        </w:rPr>
        <w:t>Democracy and Diversity: Principles and concepts for educating citizens in a global age</w:t>
      </w:r>
      <w:r>
        <w:rPr>
          <w:rFonts w:ascii="Times New Roman" w:eastAsia="Times New Roman" w:hAnsi="Times New Roman" w:cs="Times New Roman"/>
          <w:sz w:val="24"/>
          <w:szCs w:val="24"/>
        </w:rPr>
        <w:t xml:space="preserve">. University of Washington, Seattle: </w:t>
      </w:r>
      <w:proofErr w:type="spellStart"/>
      <w:r>
        <w:rPr>
          <w:rFonts w:ascii="Times New Roman" w:eastAsia="Times New Roman" w:hAnsi="Times New Roman" w:cs="Times New Roman"/>
          <w:sz w:val="24"/>
          <w:szCs w:val="24"/>
        </w:rPr>
        <w:t>Center</w:t>
      </w:r>
      <w:proofErr w:type="spellEnd"/>
      <w:r>
        <w:rPr>
          <w:rFonts w:ascii="Times New Roman" w:eastAsia="Times New Roman" w:hAnsi="Times New Roman" w:cs="Times New Roman"/>
          <w:sz w:val="24"/>
          <w:szCs w:val="24"/>
        </w:rPr>
        <w:t xml:space="preserve"> for Multicultural Education, College of Education.</w:t>
      </w:r>
    </w:p>
    <w:p w14:paraId="79A05C08"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Barnes, M. &amp; Prior, D. (2009). Examining the idea of ‘subversion’ in public services. In M. Barnes &amp; D. Prior (eds) </w:t>
      </w:r>
      <w:r>
        <w:rPr>
          <w:rFonts w:ascii="Times New Roman" w:eastAsia="Times New Roman" w:hAnsi="Times New Roman" w:cs="Times New Roman"/>
          <w:i/>
          <w:iCs/>
          <w:sz w:val="24"/>
          <w:szCs w:val="24"/>
        </w:rPr>
        <w:t xml:space="preserve">Subversive Citizens: Power, agency and resistance in public services, </w:t>
      </w:r>
      <w:r>
        <w:rPr>
          <w:rFonts w:ascii="Times New Roman" w:eastAsia="Times New Roman" w:hAnsi="Times New Roman" w:cs="Times New Roman"/>
          <w:sz w:val="24"/>
          <w:szCs w:val="24"/>
        </w:rPr>
        <w:t>pp.3-16. Bristol: Policy Press.</w:t>
      </w:r>
    </w:p>
    <w:p w14:paraId="17F7A661"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Barton, K. C., &amp; Ho, L.-C. (2023). Collaborative deliberation in the classroom. </w:t>
      </w:r>
      <w:r>
        <w:rPr>
          <w:rFonts w:ascii="Times New Roman" w:eastAsia="Times New Roman" w:hAnsi="Times New Roman" w:cs="Times New Roman"/>
          <w:i/>
          <w:iCs/>
          <w:sz w:val="24"/>
          <w:szCs w:val="24"/>
        </w:rPr>
        <w:t xml:space="preserve">Phi Delta </w:t>
      </w:r>
      <w:proofErr w:type="spellStart"/>
      <w:r>
        <w:rPr>
          <w:rFonts w:ascii="Times New Roman" w:eastAsia="Times New Roman" w:hAnsi="Times New Roman" w:cs="Times New Roman"/>
          <w:i/>
          <w:iCs/>
          <w:sz w:val="24"/>
          <w:szCs w:val="24"/>
        </w:rPr>
        <w:t>Kappan</w:t>
      </w:r>
      <w:proofErr w:type="spellEnd"/>
      <w:r>
        <w:rPr>
          <w:rFonts w:ascii="Times New Roman" w:eastAsia="Times New Roman" w:hAnsi="Times New Roman" w:cs="Times New Roman"/>
          <w:sz w:val="24"/>
          <w:szCs w:val="24"/>
        </w:rPr>
        <w:t>, 104(5), 44-49. https://doi.org/10.1177/00317217231156229</w:t>
      </w:r>
    </w:p>
    <w:p w14:paraId="12B69A4D"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Beck, J. (2013) Powerful knowledge, esoteric knowledge, curriculum knowledge. </w:t>
      </w:r>
      <w:r>
        <w:rPr>
          <w:rFonts w:ascii="Times New Roman" w:eastAsia="Times New Roman" w:hAnsi="Times New Roman" w:cs="Times New Roman"/>
          <w:i/>
          <w:iCs/>
          <w:sz w:val="24"/>
          <w:szCs w:val="24"/>
        </w:rPr>
        <w:t>Cambridge Journal of Education</w:t>
      </w:r>
      <w:r>
        <w:rPr>
          <w:rFonts w:ascii="Times New Roman" w:eastAsia="Times New Roman" w:hAnsi="Times New Roman" w:cs="Times New Roman"/>
          <w:sz w:val="24"/>
          <w:szCs w:val="24"/>
        </w:rPr>
        <w:t>, 43 (2), 177-193</w:t>
      </w:r>
    </w:p>
    <w:p w14:paraId="024A4542"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Bernstein, B. (1999). Vertical and Horizontal Discourse: An essay. </w:t>
      </w:r>
      <w:r>
        <w:rPr>
          <w:rFonts w:ascii="Times New Roman" w:eastAsia="Times New Roman" w:hAnsi="Times New Roman" w:cs="Times New Roman"/>
          <w:i/>
          <w:iCs/>
          <w:sz w:val="24"/>
          <w:szCs w:val="24"/>
        </w:rPr>
        <w:t>British Journal of Sociology of Education</w:t>
      </w:r>
      <w:r>
        <w:rPr>
          <w:rFonts w:ascii="Times New Roman" w:eastAsia="Times New Roman" w:hAnsi="Times New Roman" w:cs="Times New Roman"/>
          <w:sz w:val="24"/>
          <w:szCs w:val="24"/>
        </w:rPr>
        <w:t xml:space="preserve">, 20(2): 157–173. </w:t>
      </w:r>
    </w:p>
    <w:p w14:paraId="764F9AD0"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Bhargava, M. &amp; Jerome, L. (2020). Training Teachers for and through Citizenship: Learning from Citizenship Experiences. </w:t>
      </w:r>
      <w:r>
        <w:rPr>
          <w:rFonts w:ascii="Times New Roman" w:eastAsia="Times New Roman" w:hAnsi="Times New Roman" w:cs="Times New Roman"/>
          <w:i/>
          <w:iCs/>
          <w:sz w:val="24"/>
          <w:szCs w:val="24"/>
        </w:rPr>
        <w:t>Societies,</w:t>
      </w:r>
      <w:r>
        <w:rPr>
          <w:rFonts w:ascii="Times New Roman" w:eastAsia="Times New Roman" w:hAnsi="Times New Roman" w:cs="Times New Roman"/>
          <w:sz w:val="24"/>
          <w:szCs w:val="24"/>
        </w:rPr>
        <w:t xml:space="preserve"> 10(2): 36. https://doi.org/10.3390/soc10020036</w:t>
      </w:r>
    </w:p>
    <w:p w14:paraId="66F3135A"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Bruner, J. (1960/1977) </w:t>
      </w:r>
      <w:r>
        <w:rPr>
          <w:rFonts w:ascii="Times New Roman" w:eastAsia="Times New Roman" w:hAnsi="Times New Roman" w:cs="Times New Roman"/>
          <w:i/>
          <w:iCs/>
          <w:sz w:val="24"/>
          <w:szCs w:val="24"/>
        </w:rPr>
        <w:t>The Process of Education</w:t>
      </w:r>
      <w:r>
        <w:rPr>
          <w:rFonts w:ascii="Times New Roman" w:eastAsia="Times New Roman" w:hAnsi="Times New Roman" w:cs="Times New Roman"/>
          <w:sz w:val="24"/>
          <w:szCs w:val="24"/>
        </w:rPr>
        <w:t>, Cambridge, MA: Harvard University Press.</w:t>
      </w:r>
    </w:p>
    <w:p w14:paraId="163A42EF"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Carr, W. (1991) Education for Citizenship. </w:t>
      </w:r>
      <w:r>
        <w:rPr>
          <w:rFonts w:ascii="Times New Roman" w:eastAsia="Times New Roman" w:hAnsi="Times New Roman" w:cs="Times New Roman"/>
          <w:i/>
          <w:iCs/>
          <w:sz w:val="24"/>
          <w:szCs w:val="24"/>
        </w:rPr>
        <w:t>British Journal of Educational Studies</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39</w:t>
      </w:r>
      <w:r>
        <w:rPr>
          <w:rFonts w:ascii="Times New Roman" w:eastAsia="Times New Roman" w:hAnsi="Times New Roman" w:cs="Times New Roman"/>
          <w:sz w:val="24"/>
          <w:szCs w:val="24"/>
        </w:rPr>
        <w:t>(4), 373–385. https://doi.org/10.2307/3120981</w:t>
      </w:r>
    </w:p>
    <w:p w14:paraId="54267921"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Chapman, A. (2003). Camels, diamonds and counter-</w:t>
      </w:r>
      <w:proofErr w:type="spellStart"/>
      <w:r>
        <w:rPr>
          <w:rFonts w:ascii="Times New Roman" w:eastAsia="Times New Roman" w:hAnsi="Times New Roman" w:cs="Times New Roman"/>
          <w:sz w:val="24"/>
          <w:szCs w:val="24"/>
        </w:rPr>
        <w:t>factuals</w:t>
      </w:r>
      <w:proofErr w:type="spellEnd"/>
      <w:r>
        <w:rPr>
          <w:rFonts w:ascii="Times New Roman" w:eastAsia="Times New Roman" w:hAnsi="Times New Roman" w:cs="Times New Roman"/>
          <w:sz w:val="24"/>
          <w:szCs w:val="24"/>
        </w:rPr>
        <w:t xml:space="preserve">: A model for teaching causal reasoning. </w:t>
      </w:r>
      <w:r>
        <w:rPr>
          <w:rFonts w:ascii="Times New Roman" w:eastAsia="Times New Roman" w:hAnsi="Times New Roman" w:cs="Times New Roman"/>
          <w:i/>
          <w:iCs/>
          <w:sz w:val="24"/>
          <w:szCs w:val="24"/>
        </w:rPr>
        <w:t>Teaching History</w:t>
      </w:r>
      <w:r>
        <w:rPr>
          <w:rFonts w:ascii="Times New Roman" w:eastAsia="Times New Roman" w:hAnsi="Times New Roman" w:cs="Times New Roman"/>
          <w:sz w:val="24"/>
          <w:szCs w:val="24"/>
        </w:rPr>
        <w:t xml:space="preserve">, 112: 6-13. </w:t>
      </w:r>
    </w:p>
    <w:p w14:paraId="6301CA91"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Clay, K. L., &amp; Rubin, B. C. (2019). “I look deep into this stuff because it’s a part of me”: Toward a critically relevant civics education. </w:t>
      </w:r>
      <w:r>
        <w:rPr>
          <w:rFonts w:ascii="Times New Roman" w:eastAsia="Times New Roman" w:hAnsi="Times New Roman" w:cs="Times New Roman"/>
          <w:i/>
          <w:iCs/>
          <w:sz w:val="24"/>
          <w:szCs w:val="24"/>
        </w:rPr>
        <w:t>Theory &amp; Research in Social Education</w:t>
      </w:r>
      <w:r>
        <w:rPr>
          <w:rFonts w:ascii="Times New Roman" w:eastAsia="Times New Roman" w:hAnsi="Times New Roman" w:cs="Times New Roman"/>
          <w:sz w:val="24"/>
          <w:szCs w:val="24"/>
        </w:rPr>
        <w:t>, 48(2): 161–181. https://doi.org/10.1080/00933104.2019.1680466</w:t>
      </w:r>
    </w:p>
    <w:p w14:paraId="56C505E0"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Counsell C (2000) Historical knowledge and historical skills: a distracting dichotomy. In J Arthur and R Phillips (eds) </w:t>
      </w:r>
      <w:r>
        <w:rPr>
          <w:rFonts w:ascii="Times New Roman" w:eastAsia="Times New Roman" w:hAnsi="Times New Roman" w:cs="Times New Roman"/>
          <w:i/>
          <w:iCs/>
          <w:sz w:val="24"/>
          <w:szCs w:val="24"/>
        </w:rPr>
        <w:t>Issues in History Teaching.</w:t>
      </w:r>
      <w:r>
        <w:rPr>
          <w:rFonts w:ascii="Times New Roman" w:eastAsia="Times New Roman" w:hAnsi="Times New Roman" w:cs="Times New Roman"/>
          <w:sz w:val="24"/>
          <w:szCs w:val="24"/>
        </w:rPr>
        <w:t xml:space="preserve"> London: Routledge.</w:t>
      </w:r>
    </w:p>
    <w:p w14:paraId="5F7F3D1D"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Cunningham, D. (2004). Empathy without illusions. Teaching History, 114: 24-29.</w:t>
      </w:r>
    </w:p>
    <w:p w14:paraId="2F585A1A"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Cunningham, F. (2002). </w:t>
      </w:r>
      <w:r>
        <w:rPr>
          <w:rFonts w:ascii="Times New Roman" w:eastAsia="Times New Roman" w:hAnsi="Times New Roman" w:cs="Times New Roman"/>
          <w:i/>
          <w:iCs/>
          <w:sz w:val="24"/>
          <w:szCs w:val="24"/>
        </w:rPr>
        <w:t xml:space="preserve">Theories of Democracy: A Critical Introduction. </w:t>
      </w:r>
      <w:r>
        <w:rPr>
          <w:rFonts w:ascii="Times New Roman" w:eastAsia="Times New Roman" w:hAnsi="Times New Roman" w:cs="Times New Roman"/>
          <w:sz w:val="24"/>
          <w:szCs w:val="24"/>
        </w:rPr>
        <w:t>Abingdon: Routledge.</w:t>
      </w:r>
    </w:p>
    <w:p w14:paraId="6B8565BE"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Jnr, O.L., Yeager, E. &amp; Foster, S. (2001). </w:t>
      </w:r>
      <w:r>
        <w:rPr>
          <w:rFonts w:ascii="Times New Roman" w:eastAsia="Times New Roman" w:hAnsi="Times New Roman" w:cs="Times New Roman"/>
          <w:i/>
          <w:iCs/>
          <w:sz w:val="24"/>
          <w:szCs w:val="24"/>
        </w:rPr>
        <w:t>Historical Empathy and Perspective-Taking in the Social Studies</w:t>
      </w:r>
      <w:r>
        <w:rPr>
          <w:rFonts w:ascii="Times New Roman" w:eastAsia="Times New Roman" w:hAnsi="Times New Roman" w:cs="Times New Roman"/>
          <w:sz w:val="24"/>
          <w:szCs w:val="24"/>
        </w:rPr>
        <w:t>. Lanham, MD: Rowman &amp; Littlefield.</w:t>
      </w:r>
    </w:p>
    <w:p w14:paraId="779D231B"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DfE. (2013). </w:t>
      </w:r>
      <w:r>
        <w:rPr>
          <w:rFonts w:ascii="Times New Roman" w:eastAsia="Times New Roman" w:hAnsi="Times New Roman" w:cs="Times New Roman"/>
          <w:i/>
          <w:iCs/>
          <w:sz w:val="24"/>
          <w:szCs w:val="24"/>
        </w:rPr>
        <w:t>Citizenship programmes of study: key stages 3 and 4. National Curriculum in England.</w:t>
      </w:r>
      <w:r>
        <w:rPr>
          <w:rFonts w:ascii="Times New Roman" w:eastAsia="Times New Roman" w:hAnsi="Times New Roman" w:cs="Times New Roman"/>
          <w:sz w:val="24"/>
          <w:szCs w:val="24"/>
        </w:rPr>
        <w:t xml:space="preserve"> London: Department for Education.</w:t>
      </w:r>
    </w:p>
    <w:p w14:paraId="6258B107"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Douglas, A. (2002) </w:t>
      </w:r>
      <w:r>
        <w:rPr>
          <w:rFonts w:ascii="Times New Roman" w:eastAsia="Times New Roman" w:hAnsi="Times New Roman" w:cs="Times New Roman"/>
          <w:i/>
          <w:iCs/>
          <w:sz w:val="24"/>
          <w:szCs w:val="24"/>
        </w:rPr>
        <w:t>Educating for real and hoped for political worlds: ways forward in developing political literacy</w:t>
      </w:r>
      <w:r>
        <w:rPr>
          <w:rFonts w:ascii="Times New Roman" w:eastAsia="Times New Roman" w:hAnsi="Times New Roman" w:cs="Times New Roman"/>
          <w:sz w:val="24"/>
          <w:szCs w:val="24"/>
        </w:rPr>
        <w:t xml:space="preserve">. London: </w:t>
      </w:r>
      <w:proofErr w:type="spellStart"/>
      <w:r>
        <w:rPr>
          <w:rFonts w:ascii="Times New Roman" w:eastAsia="Times New Roman" w:hAnsi="Times New Roman" w:cs="Times New Roman"/>
          <w:sz w:val="24"/>
          <w:szCs w:val="24"/>
        </w:rPr>
        <w:t>CitizED</w:t>
      </w:r>
      <w:proofErr w:type="spellEnd"/>
    </w:p>
    <w:p w14:paraId="7F8C3ADF" w14:textId="77777777" w:rsidR="007A451F" w:rsidRDefault="007A451F" w:rsidP="007A451F">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Dryzek</w:t>
      </w:r>
      <w:proofErr w:type="spellEnd"/>
      <w:r>
        <w:rPr>
          <w:rFonts w:ascii="Times New Roman" w:eastAsia="Times New Roman" w:hAnsi="Times New Roman" w:cs="Times New Roman"/>
          <w:sz w:val="24"/>
          <w:szCs w:val="24"/>
        </w:rPr>
        <w:t xml:space="preserve">, John S. (2002). </w:t>
      </w:r>
      <w:r>
        <w:rPr>
          <w:rFonts w:ascii="Times New Roman" w:eastAsia="Times New Roman" w:hAnsi="Times New Roman" w:cs="Times New Roman"/>
          <w:i/>
          <w:iCs/>
          <w:sz w:val="24"/>
          <w:szCs w:val="24"/>
        </w:rPr>
        <w:t>Deliberative Democracy and Beyond: Liberals, Critics, Contestations</w:t>
      </w:r>
      <w:r>
        <w:rPr>
          <w:rFonts w:ascii="Times New Roman" w:eastAsia="Times New Roman" w:hAnsi="Times New Roman" w:cs="Times New Roman"/>
          <w:sz w:val="24"/>
          <w:szCs w:val="24"/>
        </w:rPr>
        <w:t>. Oxford, Oxford Academic.</w:t>
      </w:r>
    </w:p>
    <w:p w14:paraId="41BB7B57"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Dyches, J., &amp; Boyd, A. (2017). Foregrounding Equity in Teacher Education: Toward a Model of Social Justice Pedagogical and Content Knowledge.</w:t>
      </w:r>
      <w:r>
        <w:rPr>
          <w:rFonts w:ascii="Times New Roman" w:eastAsia="Times New Roman" w:hAnsi="Times New Roman" w:cs="Times New Roman"/>
          <w:i/>
          <w:iCs/>
          <w:sz w:val="24"/>
          <w:szCs w:val="24"/>
        </w:rPr>
        <w:t xml:space="preserve"> Journal of Teacher Education</w:t>
      </w:r>
      <w:r>
        <w:rPr>
          <w:rFonts w:ascii="Times New Roman" w:eastAsia="Times New Roman" w:hAnsi="Times New Roman" w:cs="Times New Roman"/>
          <w:sz w:val="24"/>
          <w:szCs w:val="24"/>
        </w:rPr>
        <w:t>, 68(5), 476-490</w:t>
      </w:r>
    </w:p>
    <w:p w14:paraId="50779C09" w14:textId="77777777" w:rsidR="007A451F" w:rsidRDefault="007A451F" w:rsidP="007A451F">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Eaglestone</w:t>
      </w:r>
      <w:proofErr w:type="spellEnd"/>
      <w:r>
        <w:rPr>
          <w:rFonts w:ascii="Times New Roman" w:eastAsia="Times New Roman" w:hAnsi="Times New Roman" w:cs="Times New Roman"/>
          <w:sz w:val="24"/>
          <w:szCs w:val="24"/>
        </w:rPr>
        <w:t xml:space="preserve">, R. (2021). </w:t>
      </w:r>
      <w:r>
        <w:rPr>
          <w:rFonts w:ascii="Times New Roman" w:eastAsia="Times New Roman" w:hAnsi="Times New Roman" w:cs="Times New Roman"/>
          <w:i/>
          <w:iCs/>
          <w:sz w:val="24"/>
          <w:szCs w:val="24"/>
        </w:rPr>
        <w:t xml:space="preserve">‘Powerful knowledge’, ‘cultural literacy’ and the study of literature in schools. </w:t>
      </w:r>
      <w:r>
        <w:rPr>
          <w:rFonts w:ascii="Times New Roman" w:eastAsia="Times New Roman" w:hAnsi="Times New Roman" w:cs="Times New Roman"/>
          <w:sz w:val="24"/>
          <w:szCs w:val="24"/>
        </w:rPr>
        <w:t>Impact No.26. Philosophy of Education Society of Great Britain. http://onlinelibrary.wiley.com/journal/10.1111/(ISSN)2048-416X</w:t>
      </w:r>
    </w:p>
    <w:p w14:paraId="17A9E089"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Enright, E. A., Toledo, W., Drum, S. &amp; Brown, S. (2022). Collaborative Elementary Civics Curriculum Development to Support Teacher Learning to Enact Culturally Sustaining Practices. </w:t>
      </w:r>
      <w:r>
        <w:rPr>
          <w:rFonts w:ascii="Times New Roman" w:eastAsia="Times New Roman" w:hAnsi="Times New Roman" w:cs="Times New Roman"/>
          <w:i/>
          <w:iCs/>
          <w:sz w:val="24"/>
          <w:szCs w:val="24"/>
        </w:rPr>
        <w:t>The Journal of Social Studies Research</w:t>
      </w:r>
      <w:r>
        <w:rPr>
          <w:rFonts w:ascii="Times New Roman" w:eastAsia="Times New Roman" w:hAnsi="Times New Roman" w:cs="Times New Roman"/>
          <w:sz w:val="24"/>
          <w:szCs w:val="24"/>
        </w:rPr>
        <w:t>, 46(1): 69-83. https://doi.org/10.1016/j.jssr.2021.11.007</w:t>
      </w:r>
    </w:p>
    <w:p w14:paraId="6B17A462"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Entwistle, N. (1988) </w:t>
      </w:r>
      <w:r>
        <w:rPr>
          <w:rFonts w:ascii="Times New Roman" w:eastAsia="Times New Roman" w:hAnsi="Times New Roman" w:cs="Times New Roman"/>
          <w:i/>
          <w:iCs/>
          <w:sz w:val="24"/>
          <w:szCs w:val="24"/>
        </w:rPr>
        <w:t>Styles of Learning and Teaching: An Integrated Outline of Educational Psychology for Students, Teachers and Lecturers</w:t>
      </w:r>
      <w:r>
        <w:rPr>
          <w:rFonts w:ascii="Times New Roman" w:eastAsia="Times New Roman" w:hAnsi="Times New Roman" w:cs="Times New Roman"/>
          <w:sz w:val="24"/>
          <w:szCs w:val="24"/>
        </w:rPr>
        <w:t>, London: David Fulton.</w:t>
      </w:r>
    </w:p>
    <w:p w14:paraId="050A41C9"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Ferguson, C. &amp; Brett, P. (2023). Teacher and student interpretations of global citizenship education in international schools. </w:t>
      </w:r>
      <w:r>
        <w:rPr>
          <w:rFonts w:ascii="Times New Roman" w:eastAsia="Times New Roman" w:hAnsi="Times New Roman" w:cs="Times New Roman"/>
          <w:i/>
          <w:iCs/>
          <w:sz w:val="24"/>
          <w:szCs w:val="24"/>
        </w:rPr>
        <w:t>Education, Citizenship and Social Justice</w:t>
      </w:r>
      <w:r>
        <w:rPr>
          <w:rFonts w:ascii="Times New Roman" w:eastAsia="Times New Roman" w:hAnsi="Times New Roman" w:cs="Times New Roman"/>
          <w:sz w:val="24"/>
          <w:szCs w:val="24"/>
        </w:rPr>
        <w:t>, published on-line first. https://doi.org/10.1177/17461979231211489</w:t>
      </w:r>
    </w:p>
    <w:p w14:paraId="758A6AFF" w14:textId="77777777" w:rsidR="007A451F" w:rsidRDefault="007A451F" w:rsidP="007A451F">
      <w:pPr>
        <w:spacing w:line="480" w:lineRule="auto"/>
        <w:ind w:left="720" w:hanging="720"/>
        <w:rPr>
          <w:rFonts w:ascii="Times New Roman" w:eastAsia="Times New Roman" w:hAnsi="Times New Roman" w:cs="Times New Roman"/>
          <w:sz w:val="24"/>
          <w:szCs w:val="24"/>
        </w:rPr>
      </w:pPr>
      <w:bookmarkStart w:id="4" w:name="_heading=h.wvx4r54zipkr" w:colFirst="0" w:colLast="0"/>
      <w:bookmarkEnd w:id="4"/>
      <w:r>
        <w:rPr>
          <w:rFonts w:ascii="Times New Roman" w:eastAsia="Times New Roman" w:hAnsi="Times New Roman" w:cs="Times New Roman"/>
          <w:sz w:val="24"/>
          <w:szCs w:val="24"/>
        </w:rPr>
        <w:t xml:space="preserve">Gardner, H. (2007) </w:t>
      </w:r>
      <w:r>
        <w:rPr>
          <w:rFonts w:ascii="Times New Roman" w:eastAsia="Times New Roman" w:hAnsi="Times New Roman" w:cs="Times New Roman"/>
          <w:i/>
          <w:iCs/>
          <w:sz w:val="24"/>
          <w:szCs w:val="24"/>
        </w:rPr>
        <w:t>Five Minds for the Future</w:t>
      </w:r>
      <w:r>
        <w:rPr>
          <w:rFonts w:ascii="Times New Roman" w:eastAsia="Times New Roman" w:hAnsi="Times New Roman" w:cs="Times New Roman"/>
          <w:sz w:val="24"/>
          <w:szCs w:val="24"/>
        </w:rPr>
        <w:t>, Cambridge, MA: Harvard Business Press.</w:t>
      </w:r>
    </w:p>
    <w:p w14:paraId="5A37B491"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Gay, G. (2010), </w:t>
      </w:r>
      <w:r>
        <w:rPr>
          <w:rFonts w:ascii="Times New Roman" w:eastAsia="Times New Roman" w:hAnsi="Times New Roman" w:cs="Times New Roman"/>
          <w:i/>
          <w:iCs/>
          <w:sz w:val="24"/>
          <w:szCs w:val="24"/>
        </w:rPr>
        <w:t>Culturally Responsive Teaching: Theory, Research, and Practice</w:t>
      </w:r>
      <w:r>
        <w:rPr>
          <w:rFonts w:ascii="Times New Roman" w:eastAsia="Times New Roman" w:hAnsi="Times New Roman" w:cs="Times New Roman"/>
          <w:sz w:val="24"/>
          <w:szCs w:val="24"/>
        </w:rPr>
        <w:t xml:space="preserve"> (2nd ed.). New York, NY: Teachers College Press.</w:t>
      </w:r>
    </w:p>
    <w:p w14:paraId="2617094D"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Gudmundsdottir, S. &amp; Shulman, L. (1987). Pedagogical Content Knowledge in Social Studies, </w:t>
      </w:r>
      <w:r>
        <w:rPr>
          <w:rFonts w:ascii="Times New Roman" w:eastAsia="Times New Roman" w:hAnsi="Times New Roman" w:cs="Times New Roman"/>
          <w:i/>
          <w:iCs/>
          <w:sz w:val="24"/>
          <w:szCs w:val="24"/>
        </w:rPr>
        <w:t>Scandinavian Journal of Educational Research</w:t>
      </w:r>
      <w:r>
        <w:rPr>
          <w:rFonts w:ascii="Times New Roman" w:eastAsia="Times New Roman" w:hAnsi="Times New Roman" w:cs="Times New Roman"/>
          <w:sz w:val="24"/>
          <w:szCs w:val="24"/>
        </w:rPr>
        <w:t>, 31(2), 59-70.</w:t>
      </w:r>
    </w:p>
    <w:p w14:paraId="5CCC94A8"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Hess, D. (2009). </w:t>
      </w:r>
      <w:r>
        <w:rPr>
          <w:rFonts w:ascii="Times New Roman" w:eastAsia="Times New Roman" w:hAnsi="Times New Roman" w:cs="Times New Roman"/>
          <w:i/>
          <w:iCs/>
          <w:sz w:val="24"/>
          <w:szCs w:val="24"/>
        </w:rPr>
        <w:t>Controversy in the Classroom.</w:t>
      </w:r>
      <w:r>
        <w:rPr>
          <w:rFonts w:ascii="Times New Roman" w:eastAsia="Times New Roman" w:hAnsi="Times New Roman" w:cs="Times New Roman"/>
          <w:sz w:val="24"/>
          <w:szCs w:val="24"/>
        </w:rPr>
        <w:t xml:space="preserve"> New York: Routledge.</w:t>
      </w:r>
    </w:p>
    <w:p w14:paraId="2F6FC806"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Husbands, C. &amp; Pendry, A. (2000). Thinking and Feeling: Pupils’ preconceptions about the past and historical understanding. In J. Arthur &amp; R. Phillips (eds) </w:t>
      </w:r>
      <w:r>
        <w:rPr>
          <w:rFonts w:ascii="Times New Roman" w:eastAsia="Times New Roman" w:hAnsi="Times New Roman" w:cs="Times New Roman"/>
          <w:i/>
          <w:iCs/>
          <w:sz w:val="24"/>
          <w:szCs w:val="24"/>
        </w:rPr>
        <w:t>Issues in History Teaching</w:t>
      </w:r>
      <w:r>
        <w:rPr>
          <w:rFonts w:ascii="Times New Roman" w:eastAsia="Times New Roman" w:hAnsi="Times New Roman" w:cs="Times New Roman"/>
          <w:sz w:val="24"/>
          <w:szCs w:val="24"/>
        </w:rPr>
        <w:t>, pp.125-134. London: Routledge.</w:t>
      </w:r>
    </w:p>
    <w:p w14:paraId="6E596398"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Ireland, J. &amp; </w:t>
      </w:r>
      <w:proofErr w:type="spellStart"/>
      <w:r>
        <w:rPr>
          <w:rFonts w:ascii="Times New Roman" w:eastAsia="Times New Roman" w:hAnsi="Times New Roman" w:cs="Times New Roman"/>
          <w:sz w:val="24"/>
          <w:szCs w:val="24"/>
        </w:rPr>
        <w:t>Mouthaan</w:t>
      </w:r>
      <w:proofErr w:type="spellEnd"/>
      <w:r>
        <w:rPr>
          <w:rFonts w:ascii="Times New Roman" w:eastAsia="Times New Roman" w:hAnsi="Times New Roman" w:cs="Times New Roman"/>
          <w:sz w:val="24"/>
          <w:szCs w:val="24"/>
        </w:rPr>
        <w:t xml:space="preserve">, M. (2020) Perspectives on curriculum design: comparing the spiral and the network models, </w:t>
      </w:r>
      <w:r>
        <w:rPr>
          <w:rFonts w:ascii="Times New Roman" w:eastAsia="Times New Roman" w:hAnsi="Times New Roman" w:cs="Times New Roman"/>
          <w:i/>
          <w:iCs/>
          <w:sz w:val="24"/>
          <w:szCs w:val="24"/>
        </w:rPr>
        <w:t>Research Matters</w:t>
      </w:r>
      <w:r>
        <w:rPr>
          <w:rFonts w:ascii="Times New Roman" w:eastAsia="Times New Roman" w:hAnsi="Times New Roman" w:cs="Times New Roman"/>
          <w:sz w:val="24"/>
          <w:szCs w:val="24"/>
        </w:rPr>
        <w:t>, 30:7–12.</w:t>
      </w:r>
    </w:p>
    <w:p w14:paraId="764EC11E"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Jerome, L. (2017). What do citizens need to know? An analysis of knowledge in citizenship curricula in the UK and Ireland. </w:t>
      </w:r>
      <w:r>
        <w:rPr>
          <w:rFonts w:ascii="Times New Roman" w:eastAsia="Times New Roman" w:hAnsi="Times New Roman" w:cs="Times New Roman"/>
          <w:i/>
          <w:iCs/>
          <w:sz w:val="24"/>
          <w:szCs w:val="24"/>
        </w:rPr>
        <w:t>Compare: A Journal of Comparative and International Education</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48</w:t>
      </w:r>
      <w:r>
        <w:rPr>
          <w:rFonts w:ascii="Times New Roman" w:eastAsia="Times New Roman" w:hAnsi="Times New Roman" w:cs="Times New Roman"/>
          <w:sz w:val="24"/>
          <w:szCs w:val="24"/>
        </w:rPr>
        <w:t>(4), 483–499. https://doi.org/10.1080/03057925.2017.1295808</w:t>
      </w:r>
    </w:p>
    <w:p w14:paraId="46538253"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Jerome, L. &amp; Bhargava, M. (2015). </w:t>
      </w:r>
      <w:r>
        <w:rPr>
          <w:rFonts w:ascii="Times New Roman" w:eastAsia="Times New Roman" w:hAnsi="Times New Roman" w:cs="Times New Roman"/>
          <w:i/>
          <w:iCs/>
          <w:sz w:val="24"/>
          <w:szCs w:val="24"/>
        </w:rPr>
        <w:t>Effective Medium-Term Planning for Teachers</w:t>
      </w:r>
      <w:r>
        <w:rPr>
          <w:rFonts w:ascii="Times New Roman" w:eastAsia="Times New Roman" w:hAnsi="Times New Roman" w:cs="Times New Roman"/>
          <w:sz w:val="24"/>
          <w:szCs w:val="24"/>
        </w:rPr>
        <w:t xml:space="preserve">. London: Sage. </w:t>
      </w:r>
    </w:p>
    <w:p w14:paraId="0CBB8FAF"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Jerome, L., &amp; Lalor, J. (2020). Revisiting subject knowledge in citizenship education: Understanding power and agency. Education, Citizenship and Social Justice, 15(2), 104-118. https://doi.org/10.1177/1746197918800662 </w:t>
      </w:r>
    </w:p>
    <w:p w14:paraId="1283E4C6"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Jerome, L., Liddle, A. &amp; Young, H. (2020). </w:t>
      </w:r>
      <w:r>
        <w:rPr>
          <w:rFonts w:ascii="Times New Roman" w:eastAsia="Times New Roman" w:hAnsi="Times New Roman" w:cs="Times New Roman"/>
          <w:i/>
          <w:iCs/>
          <w:sz w:val="24"/>
          <w:szCs w:val="24"/>
        </w:rPr>
        <w:t>The Deliberative Classroom and the Development of Secondary Students’ Conceptual Understanding of Democracy</w:t>
      </w:r>
      <w:r>
        <w:rPr>
          <w:rFonts w:ascii="Times New Roman" w:eastAsia="Times New Roman" w:hAnsi="Times New Roman" w:cs="Times New Roman"/>
          <w:sz w:val="24"/>
          <w:szCs w:val="24"/>
        </w:rPr>
        <w:t>. London: Middlesex University.</w:t>
      </w:r>
    </w:p>
    <w:p w14:paraId="68EC3C3F"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Jerome, L., Liddle, A. &amp; Young, H. (2021). Talking about rights without talking about rights: on the absence of knowledge in classroom discussions. </w:t>
      </w:r>
      <w:r>
        <w:rPr>
          <w:rFonts w:ascii="Times New Roman" w:eastAsia="Times New Roman" w:hAnsi="Times New Roman" w:cs="Times New Roman"/>
          <w:i/>
          <w:iCs/>
          <w:sz w:val="24"/>
          <w:szCs w:val="24"/>
        </w:rPr>
        <w:t>Human Rights Education Review</w:t>
      </w:r>
      <w:r>
        <w:rPr>
          <w:rFonts w:ascii="Times New Roman" w:eastAsia="Times New Roman" w:hAnsi="Times New Roman" w:cs="Times New Roman"/>
          <w:sz w:val="24"/>
          <w:szCs w:val="24"/>
        </w:rPr>
        <w:t xml:space="preserve">, 4 (1): 8-26. </w:t>
      </w:r>
    </w:p>
    <w:p w14:paraId="49D01F31"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Jerome, L. and Starkey, H. (2021) </w:t>
      </w:r>
      <w:r>
        <w:rPr>
          <w:rFonts w:ascii="Times New Roman" w:eastAsia="Times New Roman" w:hAnsi="Times New Roman" w:cs="Times New Roman"/>
          <w:i/>
          <w:iCs/>
          <w:sz w:val="24"/>
          <w:szCs w:val="24"/>
        </w:rPr>
        <w:t>Rights and Responsibilities in Diverse Schools and Classrooms: Children's rights education in principle and practice</w:t>
      </w:r>
      <w:r>
        <w:rPr>
          <w:rFonts w:ascii="Times New Roman" w:eastAsia="Times New Roman" w:hAnsi="Times New Roman" w:cs="Times New Roman"/>
          <w:sz w:val="24"/>
          <w:szCs w:val="24"/>
        </w:rPr>
        <w:t>, London: Bloomsbury.</w:t>
      </w:r>
    </w:p>
    <w:p w14:paraId="504980A1" w14:textId="77777777" w:rsidR="007A451F" w:rsidRDefault="007A451F" w:rsidP="007A451F">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Kelchtermans</w:t>
      </w:r>
      <w:proofErr w:type="spellEnd"/>
      <w:r>
        <w:rPr>
          <w:rFonts w:ascii="Times New Roman" w:eastAsia="Times New Roman" w:hAnsi="Times New Roman" w:cs="Times New Roman"/>
          <w:sz w:val="24"/>
          <w:szCs w:val="24"/>
        </w:rPr>
        <w:t xml:space="preserve">, G. (2009) Who I am in how I teach is the message: Self-understanding, vulnerability and reflection. </w:t>
      </w:r>
      <w:r>
        <w:rPr>
          <w:rFonts w:ascii="Times New Roman" w:eastAsia="Times New Roman" w:hAnsi="Times New Roman" w:cs="Times New Roman"/>
          <w:i/>
          <w:iCs/>
          <w:sz w:val="24"/>
          <w:szCs w:val="24"/>
        </w:rPr>
        <w:t>Teachers &amp; Teaching: Theory &amp; Practice</w:t>
      </w:r>
      <w:r>
        <w:rPr>
          <w:rFonts w:ascii="Times New Roman" w:eastAsia="Times New Roman" w:hAnsi="Times New Roman" w:cs="Times New Roman"/>
          <w:sz w:val="24"/>
          <w:szCs w:val="24"/>
        </w:rPr>
        <w:t>, 15(2): 257–272.</w:t>
      </w:r>
    </w:p>
    <w:p w14:paraId="2ED8748F"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Kennedy, J., &amp; Pek, S. (2022). Mini-publics, student participation, and universities’ deliberative capacity. </w:t>
      </w:r>
      <w:r>
        <w:rPr>
          <w:rFonts w:ascii="Times New Roman" w:eastAsia="Times New Roman" w:hAnsi="Times New Roman" w:cs="Times New Roman"/>
          <w:i/>
          <w:iCs/>
          <w:sz w:val="24"/>
          <w:szCs w:val="24"/>
        </w:rPr>
        <w:t>Studies in Higher Education</w:t>
      </w:r>
      <w:r>
        <w:rPr>
          <w:rFonts w:ascii="Times New Roman" w:eastAsia="Times New Roman" w:hAnsi="Times New Roman" w:cs="Times New Roman"/>
          <w:sz w:val="24"/>
          <w:szCs w:val="24"/>
        </w:rPr>
        <w:t>, 48(1), 63–82. https://doi.org/10.1080/03075079.2022.2111551</w:t>
      </w:r>
    </w:p>
    <w:p w14:paraId="40FC6425"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Kuhn, D. (1991). </w:t>
      </w:r>
      <w:r>
        <w:rPr>
          <w:rFonts w:ascii="Times New Roman" w:eastAsia="Times New Roman" w:hAnsi="Times New Roman" w:cs="Times New Roman"/>
          <w:i/>
          <w:iCs/>
          <w:sz w:val="24"/>
          <w:szCs w:val="24"/>
        </w:rPr>
        <w:t>The skills of argument</w:t>
      </w:r>
      <w:r>
        <w:rPr>
          <w:rFonts w:ascii="Times New Roman" w:eastAsia="Times New Roman" w:hAnsi="Times New Roman" w:cs="Times New Roman"/>
          <w:sz w:val="24"/>
          <w:szCs w:val="24"/>
        </w:rPr>
        <w:t>. Cambridge: Cambridge University Press.</w:t>
      </w:r>
    </w:p>
    <w:p w14:paraId="2D9AC33F"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Ladson-Billings, G. (2009) </w:t>
      </w:r>
      <w:r>
        <w:rPr>
          <w:rFonts w:ascii="Times New Roman" w:eastAsia="Times New Roman" w:hAnsi="Times New Roman" w:cs="Times New Roman"/>
          <w:i/>
          <w:iCs/>
          <w:sz w:val="24"/>
          <w:szCs w:val="24"/>
        </w:rPr>
        <w:t xml:space="preserve">The </w:t>
      </w:r>
      <w:proofErr w:type="spellStart"/>
      <w:r>
        <w:rPr>
          <w:rFonts w:ascii="Times New Roman" w:eastAsia="Times New Roman" w:hAnsi="Times New Roman" w:cs="Times New Roman"/>
          <w:i/>
          <w:iCs/>
          <w:sz w:val="24"/>
          <w:szCs w:val="24"/>
        </w:rPr>
        <w:t>Dreamkeepers</w:t>
      </w:r>
      <w:proofErr w:type="spellEnd"/>
      <w:r>
        <w:rPr>
          <w:rFonts w:ascii="Times New Roman" w:eastAsia="Times New Roman" w:hAnsi="Times New Roman" w:cs="Times New Roman"/>
          <w:i/>
          <w:iCs/>
          <w:sz w:val="24"/>
          <w:szCs w:val="24"/>
        </w:rPr>
        <w:t>: Successful Teachers of African American Children</w:t>
      </w:r>
      <w:r>
        <w:rPr>
          <w:rFonts w:ascii="Times New Roman" w:eastAsia="Times New Roman" w:hAnsi="Times New Roman" w:cs="Times New Roman"/>
          <w:sz w:val="24"/>
          <w:szCs w:val="24"/>
        </w:rPr>
        <w:t xml:space="preserve"> (2nd ed.). San Francisco, CA: Jossey-Bass.</w:t>
      </w:r>
    </w:p>
    <w:p w14:paraId="25411FA1"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Latimer, C., &amp; Hempson, K. M. (2012). Using Deliberation in the Classroom: A Teaching Pedagogy to Enhance Student Knowledge, Opinion Formation, and Civic Engagement. </w:t>
      </w:r>
      <w:r>
        <w:rPr>
          <w:rFonts w:ascii="Times New Roman" w:eastAsia="Times New Roman" w:hAnsi="Times New Roman" w:cs="Times New Roman"/>
          <w:i/>
          <w:iCs/>
          <w:sz w:val="24"/>
          <w:szCs w:val="24"/>
        </w:rPr>
        <w:t>Journal of Political Science Education</w:t>
      </w:r>
      <w:r>
        <w:rPr>
          <w:rFonts w:ascii="Times New Roman" w:eastAsia="Times New Roman" w:hAnsi="Times New Roman" w:cs="Times New Roman"/>
          <w:sz w:val="24"/>
          <w:szCs w:val="24"/>
        </w:rPr>
        <w:t>, 8(4), 372–388. https://doi.org/10.1080/15512169.2012.729447</w:t>
      </w:r>
    </w:p>
    <w:p w14:paraId="4E6731DD"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Lee, P. (2005). Putting principles into practice: Understanding history. In S. Donovan &amp; J. Bransford (eds) </w:t>
      </w:r>
      <w:r>
        <w:rPr>
          <w:rFonts w:ascii="Times New Roman" w:eastAsia="Times New Roman" w:hAnsi="Times New Roman" w:cs="Times New Roman"/>
          <w:i/>
          <w:iCs/>
          <w:sz w:val="24"/>
          <w:szCs w:val="24"/>
        </w:rPr>
        <w:t>How Students Learn: History in the Classroom</w:t>
      </w:r>
      <w:r>
        <w:rPr>
          <w:rFonts w:ascii="Times New Roman" w:eastAsia="Times New Roman" w:hAnsi="Times New Roman" w:cs="Times New Roman"/>
          <w:sz w:val="24"/>
          <w:szCs w:val="24"/>
        </w:rPr>
        <w:t>, pp. 31-77. Washington, DC: The National Academies Press.</w:t>
      </w:r>
    </w:p>
    <w:p w14:paraId="67F0C4F9"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Levine, P. (2018). Deliberation or Simulated Deliberation? </w:t>
      </w:r>
      <w:r>
        <w:rPr>
          <w:rFonts w:ascii="Times New Roman" w:eastAsia="Times New Roman" w:hAnsi="Times New Roman" w:cs="Times New Roman"/>
          <w:i/>
          <w:iCs/>
          <w:sz w:val="24"/>
          <w:szCs w:val="24"/>
        </w:rPr>
        <w:t>Democracy and Education</w:t>
      </w:r>
      <w:r>
        <w:rPr>
          <w:rFonts w:ascii="Times New Roman" w:eastAsia="Times New Roman" w:hAnsi="Times New Roman" w:cs="Times New Roman"/>
          <w:sz w:val="24"/>
          <w:szCs w:val="24"/>
        </w:rPr>
        <w:t>, 26(1), Article 7. https://democracyeducationjournal.org/home/vol26/iss1/7</w:t>
      </w:r>
    </w:p>
    <w:p w14:paraId="1AC16E8F"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Marshall, T.H. (1950) </w:t>
      </w:r>
      <w:r>
        <w:rPr>
          <w:rFonts w:ascii="Times New Roman" w:eastAsia="Times New Roman" w:hAnsi="Times New Roman" w:cs="Times New Roman"/>
          <w:i/>
          <w:iCs/>
          <w:sz w:val="24"/>
          <w:szCs w:val="24"/>
        </w:rPr>
        <w:t>Citizenship and Social Class and Other Essays</w:t>
      </w:r>
      <w:r>
        <w:rPr>
          <w:rFonts w:ascii="Times New Roman" w:eastAsia="Times New Roman" w:hAnsi="Times New Roman" w:cs="Times New Roman"/>
          <w:sz w:val="24"/>
          <w:szCs w:val="24"/>
        </w:rPr>
        <w:t>. Cambridge: Cambridge University Press.</w:t>
      </w:r>
    </w:p>
    <w:p w14:paraId="09BB1F39" w14:textId="77777777" w:rsidR="007A451F" w:rsidRDefault="007A451F" w:rsidP="007A451F">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Maurissen</w:t>
      </w:r>
      <w:proofErr w:type="spellEnd"/>
      <w:r>
        <w:rPr>
          <w:rFonts w:ascii="Times New Roman" w:eastAsia="Times New Roman" w:hAnsi="Times New Roman" w:cs="Times New Roman"/>
          <w:sz w:val="24"/>
          <w:szCs w:val="24"/>
        </w:rPr>
        <w:t xml:space="preserve">, L., Claes, E. &amp; Barber, C. (2018). Deliberation in citizenship education: how the school context contributes to the development of an open classroom climate. </w:t>
      </w:r>
      <w:r>
        <w:rPr>
          <w:rFonts w:ascii="Times New Roman" w:eastAsia="Times New Roman" w:hAnsi="Times New Roman" w:cs="Times New Roman"/>
          <w:i/>
          <w:iCs/>
          <w:sz w:val="24"/>
          <w:szCs w:val="24"/>
        </w:rPr>
        <w:t>Social Psychology of Education</w:t>
      </w:r>
      <w:r>
        <w:rPr>
          <w:rFonts w:ascii="Times New Roman" w:eastAsia="Times New Roman" w:hAnsi="Times New Roman" w:cs="Times New Roman"/>
          <w:sz w:val="24"/>
          <w:szCs w:val="24"/>
        </w:rPr>
        <w:t>, 21: 951–972. https://doi.org/10.1007/s11218-018-9449-7</w:t>
      </w:r>
    </w:p>
    <w:p w14:paraId="6AA974D1" w14:textId="77777777" w:rsidR="007A451F" w:rsidRDefault="007A451F" w:rsidP="007A451F">
      <w:pPr>
        <w:spacing w:line="480" w:lineRule="auto"/>
        <w:ind w:left="720" w:hanging="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McCowan,,</w:t>
      </w:r>
      <w:proofErr w:type="gramEnd"/>
      <w:r>
        <w:rPr>
          <w:rFonts w:ascii="Times New Roman" w:eastAsia="Times New Roman" w:hAnsi="Times New Roman" w:cs="Times New Roman"/>
          <w:sz w:val="24"/>
          <w:szCs w:val="24"/>
        </w:rPr>
        <w:t xml:space="preserve"> T. (2009). </w:t>
      </w:r>
      <w:r>
        <w:rPr>
          <w:rFonts w:ascii="Times New Roman" w:eastAsia="Times New Roman" w:hAnsi="Times New Roman" w:cs="Times New Roman"/>
          <w:i/>
          <w:iCs/>
          <w:sz w:val="24"/>
          <w:szCs w:val="24"/>
        </w:rPr>
        <w:t xml:space="preserve">Rethinking Citizenship Education: A Curriculum for Participatory Democracy. </w:t>
      </w:r>
      <w:r>
        <w:rPr>
          <w:rFonts w:ascii="Times New Roman" w:eastAsia="Times New Roman" w:hAnsi="Times New Roman" w:cs="Times New Roman"/>
          <w:sz w:val="24"/>
          <w:szCs w:val="24"/>
        </w:rPr>
        <w:t>London: Continuum.</w:t>
      </w:r>
    </w:p>
    <w:p w14:paraId="01F36F17"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Norton, N.E.L. &amp; Bentley, C.C. (2006). Making the Connection: Extending Culturally Responsive Teaching through Home(land) Pedagogies. </w:t>
      </w:r>
      <w:r>
        <w:rPr>
          <w:rFonts w:ascii="Times New Roman" w:eastAsia="Times New Roman" w:hAnsi="Times New Roman" w:cs="Times New Roman"/>
          <w:i/>
          <w:iCs/>
          <w:sz w:val="24"/>
          <w:szCs w:val="24"/>
        </w:rPr>
        <w:t>Feminist Teacher</w:t>
      </w:r>
      <w:r>
        <w:rPr>
          <w:rFonts w:ascii="Times New Roman" w:eastAsia="Times New Roman" w:hAnsi="Times New Roman" w:cs="Times New Roman"/>
          <w:sz w:val="24"/>
          <w:szCs w:val="24"/>
        </w:rPr>
        <w:t>, 17(1), 52–70. http://www.jstor.org/stable/40546002</w:t>
      </w:r>
    </w:p>
    <w:p w14:paraId="72F96DD0"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Parker, W. C. (2018). Human rights education’s curriculum problem. </w:t>
      </w:r>
      <w:r>
        <w:rPr>
          <w:rFonts w:ascii="Times New Roman" w:eastAsia="Times New Roman" w:hAnsi="Times New Roman" w:cs="Times New Roman"/>
          <w:i/>
          <w:iCs/>
          <w:sz w:val="24"/>
          <w:szCs w:val="24"/>
        </w:rPr>
        <w:t>Human Rights Education Review</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1</w:t>
      </w:r>
      <w:r>
        <w:rPr>
          <w:rFonts w:ascii="Times New Roman" w:eastAsia="Times New Roman" w:hAnsi="Times New Roman" w:cs="Times New Roman"/>
          <w:sz w:val="24"/>
          <w:szCs w:val="24"/>
        </w:rPr>
        <w:t>(1), 05–24. https://doi.org/10.7577/hrer.2450</w:t>
      </w:r>
    </w:p>
    <w:p w14:paraId="65F6C810"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Phillips, R. (2002). </w:t>
      </w:r>
      <w:r>
        <w:rPr>
          <w:rFonts w:ascii="Times New Roman" w:eastAsia="Times New Roman" w:hAnsi="Times New Roman" w:cs="Times New Roman"/>
          <w:i/>
          <w:iCs/>
          <w:sz w:val="24"/>
          <w:szCs w:val="24"/>
        </w:rPr>
        <w:t>Reflective Teaching of History 11-18</w:t>
      </w:r>
      <w:r>
        <w:rPr>
          <w:rFonts w:ascii="Times New Roman" w:eastAsia="Times New Roman" w:hAnsi="Times New Roman" w:cs="Times New Roman"/>
          <w:sz w:val="24"/>
          <w:szCs w:val="24"/>
        </w:rPr>
        <w:t>. London: Continuum.</w:t>
      </w:r>
    </w:p>
    <w:p w14:paraId="4765F630"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QCA. (2007). </w:t>
      </w:r>
      <w:r>
        <w:rPr>
          <w:rFonts w:ascii="Times New Roman" w:eastAsia="Times New Roman" w:hAnsi="Times New Roman" w:cs="Times New Roman"/>
          <w:i/>
          <w:iCs/>
          <w:sz w:val="24"/>
          <w:szCs w:val="24"/>
        </w:rPr>
        <w:t>Citizenship Programme of study for key stage 3</w:t>
      </w:r>
      <w:r>
        <w:rPr>
          <w:rFonts w:ascii="Times New Roman" w:eastAsia="Times New Roman" w:hAnsi="Times New Roman" w:cs="Times New Roman"/>
          <w:sz w:val="24"/>
          <w:szCs w:val="24"/>
        </w:rPr>
        <w:t>. London: Qualifications and Curriculum Authority.</w:t>
      </w:r>
    </w:p>
    <w:p w14:paraId="2DA26A41"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Reznitskaya, A. and Gregory, M. (2013). Student Thought and Classroom Language: Examining the Mechanisms of Change in Dialogic Teaching. </w:t>
      </w:r>
      <w:r>
        <w:rPr>
          <w:rFonts w:ascii="Times New Roman" w:eastAsia="Times New Roman" w:hAnsi="Times New Roman" w:cs="Times New Roman"/>
          <w:i/>
          <w:iCs/>
          <w:sz w:val="24"/>
          <w:szCs w:val="24"/>
        </w:rPr>
        <w:t>Educational Psychologist</w:t>
      </w:r>
      <w:r>
        <w:rPr>
          <w:rFonts w:ascii="Times New Roman" w:eastAsia="Times New Roman" w:hAnsi="Times New Roman" w:cs="Times New Roman"/>
          <w:sz w:val="24"/>
          <w:szCs w:val="24"/>
        </w:rPr>
        <w:t>, 48(2): 114-133.</w:t>
      </w:r>
    </w:p>
    <w:p w14:paraId="4AD2F8C9"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Rowe, D. (2005). The Development of Political Thinking in School Students: </w:t>
      </w:r>
      <w:proofErr w:type="gramStart"/>
      <w:r>
        <w:rPr>
          <w:rFonts w:ascii="Times New Roman" w:eastAsia="Times New Roman" w:hAnsi="Times New Roman" w:cs="Times New Roman"/>
          <w:sz w:val="24"/>
          <w:szCs w:val="24"/>
        </w:rPr>
        <w:t>an</w:t>
      </w:r>
      <w:proofErr w:type="gramEnd"/>
      <w:r>
        <w:rPr>
          <w:rFonts w:ascii="Times New Roman" w:eastAsia="Times New Roman" w:hAnsi="Times New Roman" w:cs="Times New Roman"/>
          <w:sz w:val="24"/>
          <w:szCs w:val="24"/>
        </w:rPr>
        <w:t xml:space="preserve"> English Perspective. </w:t>
      </w:r>
      <w:r>
        <w:rPr>
          <w:rFonts w:ascii="Times New Roman" w:eastAsia="Times New Roman" w:hAnsi="Times New Roman" w:cs="Times New Roman"/>
          <w:i/>
          <w:iCs/>
          <w:sz w:val="24"/>
          <w:szCs w:val="24"/>
        </w:rPr>
        <w:t>International Journal of Citizenship and Teacher Education</w:t>
      </w:r>
      <w:r>
        <w:rPr>
          <w:rFonts w:ascii="Times New Roman" w:eastAsia="Times New Roman" w:hAnsi="Times New Roman" w:cs="Times New Roman"/>
          <w:sz w:val="24"/>
          <w:szCs w:val="24"/>
        </w:rPr>
        <w:t>, 1(1): 97-110.</w:t>
      </w:r>
    </w:p>
    <w:p w14:paraId="1A9F0133"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Select Committee on the Constitution (2023) The roles of the Lord Chancellor and the Law Officers. 9th Report of Session 2022-23. HL Paper 118. London: House of Lords. https://publications.parliament.uk/pa/ld5803/ldselect/ldconst/118/11802.htm</w:t>
      </w:r>
    </w:p>
    <w:p w14:paraId="60FDD49F"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Shulman, L. (1986).  Those Who Understand: Knowledge Growth in Teaching. </w:t>
      </w:r>
      <w:r>
        <w:rPr>
          <w:rFonts w:ascii="Times New Roman" w:eastAsia="Times New Roman" w:hAnsi="Times New Roman" w:cs="Times New Roman"/>
          <w:i/>
          <w:iCs/>
          <w:sz w:val="24"/>
          <w:szCs w:val="24"/>
        </w:rPr>
        <w:t>Educational Researcher</w:t>
      </w:r>
      <w:r>
        <w:rPr>
          <w:rFonts w:ascii="Times New Roman" w:eastAsia="Times New Roman" w:hAnsi="Times New Roman" w:cs="Times New Roman"/>
          <w:sz w:val="24"/>
          <w:szCs w:val="24"/>
        </w:rPr>
        <w:t>, 15(2): 4-14.</w:t>
      </w:r>
    </w:p>
    <w:p w14:paraId="04D2C277"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Shulman, L. (1987). Knowledge and Teaching: Foundations of the New Reform, </w:t>
      </w:r>
      <w:r>
        <w:rPr>
          <w:rFonts w:ascii="Times New Roman" w:eastAsia="Times New Roman" w:hAnsi="Times New Roman" w:cs="Times New Roman"/>
          <w:i/>
          <w:iCs/>
          <w:sz w:val="24"/>
          <w:szCs w:val="24"/>
        </w:rPr>
        <w:t>Harvard Educational Review</w:t>
      </w:r>
      <w:r>
        <w:rPr>
          <w:rFonts w:ascii="Times New Roman" w:eastAsia="Times New Roman" w:hAnsi="Times New Roman" w:cs="Times New Roman"/>
          <w:sz w:val="24"/>
          <w:szCs w:val="24"/>
        </w:rPr>
        <w:t>, 57(1), 1-22.</w:t>
      </w:r>
    </w:p>
    <w:p w14:paraId="247AF585"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Shulman, L.S. (2005) Signature pedagogies in the professions, </w:t>
      </w:r>
      <w:r>
        <w:rPr>
          <w:rFonts w:ascii="Times New Roman" w:eastAsia="Times New Roman" w:hAnsi="Times New Roman" w:cs="Times New Roman"/>
          <w:i/>
          <w:iCs/>
          <w:sz w:val="24"/>
          <w:szCs w:val="24"/>
        </w:rPr>
        <w:t xml:space="preserve">Daedalus, </w:t>
      </w:r>
      <w:r>
        <w:rPr>
          <w:rFonts w:ascii="Times New Roman" w:eastAsia="Times New Roman" w:hAnsi="Times New Roman" w:cs="Times New Roman"/>
          <w:sz w:val="24"/>
          <w:szCs w:val="24"/>
        </w:rPr>
        <w:t>134 (3): 52-59.</w:t>
      </w:r>
    </w:p>
    <w:p w14:paraId="1C29C231"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Standish, A. (2021) School Subjects. In A. Sehgal Cuthbert &amp; A. Standish (Eds.) </w:t>
      </w:r>
      <w:r>
        <w:rPr>
          <w:rFonts w:ascii="Times New Roman" w:eastAsia="Times New Roman" w:hAnsi="Times New Roman" w:cs="Times New Roman"/>
          <w:i/>
          <w:iCs/>
          <w:sz w:val="24"/>
          <w:szCs w:val="24"/>
        </w:rPr>
        <w:t>What Should Schools Teach? Disciplines, subjects and the pursuit of truth</w:t>
      </w:r>
      <w:r>
        <w:rPr>
          <w:rFonts w:ascii="Times New Roman" w:eastAsia="Times New Roman" w:hAnsi="Times New Roman" w:cs="Times New Roman"/>
          <w:sz w:val="24"/>
          <w:szCs w:val="24"/>
        </w:rPr>
        <w:t>, pp.38-53. London: UCL Press.</w:t>
      </w:r>
    </w:p>
    <w:p w14:paraId="090B813C" w14:textId="77777777" w:rsidR="007A451F" w:rsidRDefault="007A451F" w:rsidP="007A451F">
      <w:pPr>
        <w:spacing w:line="480" w:lineRule="auto"/>
        <w:ind w:left="720" w:hanging="72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Steiner, J., </w:t>
      </w:r>
      <w:proofErr w:type="spellStart"/>
      <w:r>
        <w:rPr>
          <w:rFonts w:ascii="Times New Roman" w:eastAsia="Times New Roman" w:hAnsi="Times New Roman" w:cs="Times New Roman"/>
          <w:sz w:val="24"/>
          <w:szCs w:val="24"/>
        </w:rPr>
        <w:t>Bächtiger</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Spörndli</w:t>
      </w:r>
      <w:proofErr w:type="spellEnd"/>
      <w:r>
        <w:rPr>
          <w:rFonts w:ascii="Times New Roman" w:eastAsia="Times New Roman" w:hAnsi="Times New Roman" w:cs="Times New Roman"/>
          <w:sz w:val="24"/>
          <w:szCs w:val="24"/>
        </w:rPr>
        <w:t xml:space="preserve">, M. &amp; Steenbergen, M.R. (2004). </w:t>
      </w:r>
      <w:r>
        <w:rPr>
          <w:rFonts w:ascii="Times New Roman" w:eastAsia="Times New Roman" w:hAnsi="Times New Roman" w:cs="Times New Roman"/>
          <w:i/>
          <w:iCs/>
          <w:sz w:val="24"/>
          <w:szCs w:val="24"/>
        </w:rPr>
        <w:t xml:space="preserve">Deliberative Politics in Action: Analysing Parliamentary Discourse. </w:t>
      </w:r>
      <w:r>
        <w:rPr>
          <w:rFonts w:ascii="Times New Roman" w:eastAsia="Times New Roman" w:hAnsi="Times New Roman" w:cs="Times New Roman"/>
          <w:sz w:val="24"/>
          <w:szCs w:val="24"/>
        </w:rPr>
        <w:t>Cambridge: Cambridge University Press.</w:t>
      </w:r>
    </w:p>
    <w:p w14:paraId="19698D73"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Steiner, J., Jaramillo, M.C., Rousiley, C.M.M. &amp; Mameli, S. (2017) </w:t>
      </w:r>
      <w:r>
        <w:rPr>
          <w:rFonts w:ascii="Times New Roman" w:eastAsia="Times New Roman" w:hAnsi="Times New Roman" w:cs="Times New Roman"/>
          <w:i/>
          <w:iCs/>
          <w:sz w:val="24"/>
          <w:szCs w:val="24"/>
        </w:rPr>
        <w:t xml:space="preserve">Deliberation Across Deeply Divided Societies: Transformative Moments. </w:t>
      </w:r>
      <w:r>
        <w:rPr>
          <w:rFonts w:ascii="Times New Roman" w:eastAsia="Times New Roman" w:hAnsi="Times New Roman" w:cs="Times New Roman"/>
          <w:sz w:val="24"/>
          <w:szCs w:val="24"/>
        </w:rPr>
        <w:t>Cambridge: Cambridge University Press.</w:t>
      </w:r>
    </w:p>
    <w:p w14:paraId="01644687"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Street, J., Duszynski, K., Krawczyk, S. &amp; </w:t>
      </w:r>
      <w:proofErr w:type="spellStart"/>
      <w:r>
        <w:rPr>
          <w:rFonts w:ascii="Times New Roman" w:eastAsia="Times New Roman" w:hAnsi="Times New Roman" w:cs="Times New Roman"/>
          <w:sz w:val="24"/>
          <w:szCs w:val="24"/>
        </w:rPr>
        <w:t>Braunack</w:t>
      </w:r>
      <w:proofErr w:type="spellEnd"/>
      <w:r>
        <w:rPr>
          <w:rFonts w:ascii="Times New Roman" w:eastAsia="Times New Roman" w:hAnsi="Times New Roman" w:cs="Times New Roman"/>
          <w:sz w:val="24"/>
          <w:szCs w:val="24"/>
        </w:rPr>
        <w:t xml:space="preserve">-Mayer, A. (2014). The use of citizens' juries in health policy decision-making: A systematic review. </w:t>
      </w:r>
      <w:r>
        <w:rPr>
          <w:rFonts w:ascii="Times New Roman" w:eastAsia="Times New Roman" w:hAnsi="Times New Roman" w:cs="Times New Roman"/>
          <w:i/>
          <w:iCs/>
          <w:sz w:val="24"/>
          <w:szCs w:val="24"/>
        </w:rPr>
        <w:t>Social Science &amp; Medicine</w:t>
      </w:r>
      <w:r>
        <w:rPr>
          <w:rFonts w:ascii="Times New Roman" w:eastAsia="Times New Roman" w:hAnsi="Times New Roman" w:cs="Times New Roman"/>
          <w:sz w:val="24"/>
          <w:szCs w:val="24"/>
        </w:rPr>
        <w:t>, 109, https://doi.org/10.1016/j.socscimed.2014.03.005.</w:t>
      </w:r>
    </w:p>
    <w:p w14:paraId="7EF26309"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Suppers, J. (2024). Young people’s citizenship activities at and beyond school – exploring a new theoretical framework with empirical data from a rural community in Germany. </w:t>
      </w:r>
      <w:r>
        <w:rPr>
          <w:rFonts w:ascii="Times New Roman" w:eastAsia="Times New Roman" w:hAnsi="Times New Roman" w:cs="Times New Roman"/>
          <w:i/>
          <w:iCs/>
          <w:sz w:val="24"/>
          <w:szCs w:val="24"/>
        </w:rPr>
        <w:t>Journal of Youth Studies</w:t>
      </w:r>
      <w:r>
        <w:rPr>
          <w:rFonts w:ascii="Times New Roman" w:eastAsia="Times New Roman" w:hAnsi="Times New Roman" w:cs="Times New Roman"/>
          <w:sz w:val="24"/>
          <w:szCs w:val="24"/>
        </w:rPr>
        <w:t>, 27(3): 374–395. https://doi.org/10.1080/13676261.2022.2131381</w:t>
      </w:r>
    </w:p>
    <w:p w14:paraId="33CE40BD"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Taylor, P. &amp; Richards, C. (1986). </w:t>
      </w:r>
      <w:r>
        <w:rPr>
          <w:rFonts w:ascii="Times New Roman" w:eastAsia="Times New Roman" w:hAnsi="Times New Roman" w:cs="Times New Roman"/>
          <w:i/>
          <w:iCs/>
          <w:sz w:val="24"/>
          <w:szCs w:val="24"/>
        </w:rPr>
        <w:t xml:space="preserve">An Introduction to Curriculum Studies </w:t>
      </w:r>
      <w:r>
        <w:rPr>
          <w:rFonts w:ascii="Times New Roman" w:eastAsia="Times New Roman" w:hAnsi="Times New Roman" w:cs="Times New Roman"/>
          <w:sz w:val="24"/>
          <w:szCs w:val="24"/>
        </w:rPr>
        <w:t>(2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Ed). Windsor: NFER-Nelson.</w:t>
      </w:r>
    </w:p>
    <w:p w14:paraId="0A966A68"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Valencia, S. W., Parker, W. C., &amp; Lo, J. C. (2023). Assessing deeper learning of high school civics. In: </w:t>
      </w:r>
      <w:r>
        <w:rPr>
          <w:rFonts w:ascii="Times New Roman" w:eastAsia="Times New Roman" w:hAnsi="Times New Roman" w:cs="Times New Roman"/>
          <w:i/>
          <w:iCs/>
          <w:sz w:val="24"/>
          <w:szCs w:val="24"/>
        </w:rPr>
        <w:t xml:space="preserve">Journal of Social Science Education 22(4). </w:t>
      </w:r>
      <w:r>
        <w:rPr>
          <w:rFonts w:ascii="Times New Roman" w:eastAsia="Times New Roman" w:hAnsi="Times New Roman" w:cs="Times New Roman"/>
          <w:sz w:val="24"/>
          <w:szCs w:val="24"/>
        </w:rPr>
        <w:t>https://doi.org/10.11576/jsse-5918</w:t>
      </w:r>
    </w:p>
    <w:p w14:paraId="477CBFCB" w14:textId="77777777" w:rsidR="007A451F" w:rsidRDefault="007A451F" w:rsidP="007A451F">
      <w:pPr>
        <w:spacing w:line="480" w:lineRule="auto"/>
        <w:ind w:left="720" w:hanging="72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Vincent, C. (2019). </w:t>
      </w:r>
      <w:r>
        <w:rPr>
          <w:rFonts w:ascii="Times New Roman" w:eastAsia="Times New Roman" w:hAnsi="Times New Roman" w:cs="Times New Roman"/>
          <w:i/>
          <w:iCs/>
          <w:sz w:val="24"/>
          <w:szCs w:val="24"/>
        </w:rPr>
        <w:t xml:space="preserve">Tea and the Queen: Fundamental British Values, Schools and Citizenship. </w:t>
      </w:r>
      <w:r>
        <w:rPr>
          <w:rFonts w:ascii="Times New Roman" w:eastAsia="Times New Roman" w:hAnsi="Times New Roman" w:cs="Times New Roman"/>
          <w:sz w:val="24"/>
          <w:szCs w:val="24"/>
        </w:rPr>
        <w:t>Bristol: Policy Press.</w:t>
      </w:r>
      <w:r>
        <w:rPr>
          <w:rFonts w:ascii="Times New Roman" w:eastAsia="Times New Roman" w:hAnsi="Times New Roman" w:cs="Times New Roman"/>
          <w:i/>
          <w:iCs/>
          <w:sz w:val="24"/>
          <w:szCs w:val="24"/>
        </w:rPr>
        <w:t xml:space="preserve"> </w:t>
      </w:r>
    </w:p>
    <w:p w14:paraId="17D6A870" w14:textId="77777777" w:rsidR="007A451F" w:rsidRDefault="007A451F" w:rsidP="007A451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Walker, R. (2020) ‘Vertical, horizontal, hierarchical, cumulative, integrative, discursive’, The Fruits Are Sweet, 11 February. Available at: https://rosalindwalker.wordpress.com/2020/02/11/vertical-horizontal-hierarchical-cumulative-integrative-discursive/ (Accessed: 10 June 2024).</w:t>
      </w:r>
    </w:p>
    <w:p w14:paraId="7D272889" w14:textId="77777777" w:rsidR="00A73368" w:rsidRDefault="00A73368"/>
    <w:sectPr w:rsidR="00A733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93D0C"/>
    <w:multiLevelType w:val="multilevel"/>
    <w:tmpl w:val="1988FC5E"/>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num w:numId="1" w16cid:durableId="2516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51F"/>
    <w:rsid w:val="007A451F"/>
    <w:rsid w:val="00874483"/>
    <w:rsid w:val="00A73368"/>
    <w:rsid w:val="00CB0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1E827"/>
  <w15:chartTrackingRefBased/>
  <w15:docId w15:val="{7714CE9D-5065-4048-9CDA-CAD6B19FF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51F"/>
    <w:pPr>
      <w:spacing w:after="0" w:line="240" w:lineRule="auto"/>
    </w:pPr>
    <w:rPr>
      <w:rFonts w:ascii="Aptos" w:eastAsia="Aptos" w:hAnsi="Aptos" w:cs="Aptos"/>
      <w:kern w:val="0"/>
      <w:sz w:val="22"/>
      <w:szCs w:val="22"/>
      <w:lang w:eastAsia="en-GB"/>
      <w14:ligatures w14:val="none"/>
    </w:rPr>
  </w:style>
  <w:style w:type="paragraph" w:styleId="Heading1">
    <w:name w:val="heading 1"/>
    <w:basedOn w:val="Normal"/>
    <w:next w:val="Normal"/>
    <w:link w:val="Heading1Char"/>
    <w:uiPriority w:val="9"/>
    <w:qFormat/>
    <w:rsid w:val="007A45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5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5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5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5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5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5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5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5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5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5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5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5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5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5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5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5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51F"/>
    <w:rPr>
      <w:rFonts w:eastAsiaTheme="majorEastAsia" w:cstheme="majorBidi"/>
      <w:color w:val="272727" w:themeColor="text1" w:themeTint="D8"/>
    </w:rPr>
  </w:style>
  <w:style w:type="paragraph" w:styleId="Title">
    <w:name w:val="Title"/>
    <w:basedOn w:val="Normal"/>
    <w:next w:val="Normal"/>
    <w:link w:val="TitleChar"/>
    <w:uiPriority w:val="10"/>
    <w:qFormat/>
    <w:rsid w:val="007A45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5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5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51F"/>
    <w:pPr>
      <w:spacing w:before="160"/>
      <w:jc w:val="center"/>
    </w:pPr>
    <w:rPr>
      <w:i/>
      <w:iCs/>
      <w:color w:val="404040" w:themeColor="text1" w:themeTint="BF"/>
    </w:rPr>
  </w:style>
  <w:style w:type="character" w:customStyle="1" w:styleId="QuoteChar">
    <w:name w:val="Quote Char"/>
    <w:basedOn w:val="DefaultParagraphFont"/>
    <w:link w:val="Quote"/>
    <w:uiPriority w:val="29"/>
    <w:rsid w:val="007A451F"/>
    <w:rPr>
      <w:i/>
      <w:iCs/>
      <w:color w:val="404040" w:themeColor="text1" w:themeTint="BF"/>
    </w:rPr>
  </w:style>
  <w:style w:type="paragraph" w:styleId="ListParagraph">
    <w:name w:val="List Paragraph"/>
    <w:basedOn w:val="Normal"/>
    <w:uiPriority w:val="34"/>
    <w:qFormat/>
    <w:rsid w:val="007A451F"/>
    <w:pPr>
      <w:ind w:left="720"/>
      <w:contextualSpacing/>
    </w:pPr>
  </w:style>
  <w:style w:type="character" w:styleId="IntenseEmphasis">
    <w:name w:val="Intense Emphasis"/>
    <w:basedOn w:val="DefaultParagraphFont"/>
    <w:uiPriority w:val="21"/>
    <w:qFormat/>
    <w:rsid w:val="007A451F"/>
    <w:rPr>
      <w:i/>
      <w:iCs/>
      <w:color w:val="0F4761" w:themeColor="accent1" w:themeShade="BF"/>
    </w:rPr>
  </w:style>
  <w:style w:type="paragraph" w:styleId="IntenseQuote">
    <w:name w:val="Intense Quote"/>
    <w:basedOn w:val="Normal"/>
    <w:next w:val="Normal"/>
    <w:link w:val="IntenseQuoteChar"/>
    <w:uiPriority w:val="30"/>
    <w:qFormat/>
    <w:rsid w:val="007A45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51F"/>
    <w:rPr>
      <w:i/>
      <w:iCs/>
      <w:color w:val="0F4761" w:themeColor="accent1" w:themeShade="BF"/>
    </w:rPr>
  </w:style>
  <w:style w:type="character" w:styleId="IntenseReference">
    <w:name w:val="Intense Reference"/>
    <w:basedOn w:val="DefaultParagraphFont"/>
    <w:uiPriority w:val="32"/>
    <w:qFormat/>
    <w:rsid w:val="007A45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35</Pages>
  <Words>8987</Words>
  <Characters>51228</Characters>
  <Application>Microsoft Office Word</Application>
  <DocSecurity>0</DocSecurity>
  <Lines>426</Lines>
  <Paragraphs>120</Paragraphs>
  <ScaleCrop>false</ScaleCrop>
  <Company/>
  <LinksUpToDate>false</LinksUpToDate>
  <CharactersWithSpaces>60095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Jerome</dc:creator>
  <cp:keywords/>
  <dc:description/>
  <cp:lastModifiedBy>Lee Jerome</cp:lastModifiedBy>
  <cp:revision>1</cp:revision>
  <dcterms:created xsi:type="dcterms:W3CDTF">2026-04-02T14:16:00Z</dcterms:created>
  <dcterms:modified xsi:type="dcterms:W3CDTF">2026-04-02T14:20:00Z</dcterms:modified>
</cp:coreProperties>
</file>