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DE920" w14:textId="3DEEF481" w:rsidR="00807400" w:rsidRDefault="00A0695C">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Chapter 11:</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What knowledge do citizenship teachers draw on when teaching about extremism? </w:t>
      </w:r>
    </w:p>
    <w:p w14:paraId="39F52AD8"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Lee Jerome, Kirsty White, Alex Elwick, Hugh Starkey and Hans Svennevig</w:t>
      </w:r>
    </w:p>
    <w:p w14:paraId="0D797F7B" w14:textId="77777777" w:rsidR="00807400" w:rsidRDefault="00807400">
      <w:pPr>
        <w:spacing w:line="480" w:lineRule="auto"/>
        <w:rPr>
          <w:rFonts w:ascii="Times New Roman" w:eastAsia="Times New Roman" w:hAnsi="Times New Roman" w:cs="Times New Roman"/>
          <w:sz w:val="24"/>
          <w:szCs w:val="24"/>
        </w:rPr>
      </w:pPr>
    </w:p>
    <w:p w14:paraId="091C5174" w14:textId="77777777" w:rsidR="00807400" w:rsidRDefault="00807400">
      <w:pPr>
        <w:spacing w:line="480" w:lineRule="auto"/>
        <w:rPr>
          <w:rFonts w:ascii="Times New Roman" w:eastAsia="Times New Roman" w:hAnsi="Times New Roman" w:cs="Times New Roman"/>
          <w:b/>
          <w:bCs/>
          <w:sz w:val="24"/>
          <w:szCs w:val="24"/>
        </w:rPr>
      </w:pPr>
    </w:p>
    <w:p w14:paraId="1E6D725C"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Since the 9-11 terrorist attacks, schools have adopted a wide range of approaches to help counter violent extremism (CVE) in Europe (Ragazzi and Walmsley, 2021; James and Janmaat, 2019) and around the world (Kundnani and Hayes, 2018). As well as promoting liberal democracy across the curriculum, schools have been encouraged to introduce more specific programmes such as building resilience against the process of radicalisation. This might include building students’ knowledge about extremist groups, ideologies and events, as well as developing critical media literacy to better understand online reporting and networks. Schools are also often drawn into the surveillance and reporting processes established by governments, and here teachers may be asked (or required) to report concerns about students’ radicalisation for specialist assessment. </w:t>
      </w:r>
    </w:p>
    <w:p w14:paraId="67C8F522" w14:textId="77777777" w:rsidR="00807400" w:rsidRDefault="00A0695C">
      <w:pPr>
        <w:spacing w:line="48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England, this CVE agenda on the one hand defines a set of common values for a liberal democracy and simultaneously defines extremism as discernible opposition to those values. The brief and simplistic definition of the fundamental British values (FBVs) is codified in law as: </w:t>
      </w:r>
    </w:p>
    <w:p w14:paraId="2370FEA8" w14:textId="77777777" w:rsidR="00807400" w:rsidRDefault="00A0695C">
      <w:pPr>
        <w:numPr>
          <w:ilvl w:val="0"/>
          <w:numId w:val="10"/>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Democracy</w:t>
      </w:r>
    </w:p>
    <w:p w14:paraId="40E63CB0" w14:textId="77777777" w:rsidR="00807400" w:rsidRDefault="00A0695C">
      <w:pPr>
        <w:numPr>
          <w:ilvl w:val="0"/>
          <w:numId w:val="10"/>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rule of law</w:t>
      </w:r>
    </w:p>
    <w:p w14:paraId="5BB2F49E" w14:textId="77777777" w:rsidR="00807400" w:rsidRDefault="00A0695C">
      <w:pPr>
        <w:numPr>
          <w:ilvl w:val="0"/>
          <w:numId w:val="10"/>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 liberty</w:t>
      </w:r>
    </w:p>
    <w:p w14:paraId="7B5F3294" w14:textId="77777777" w:rsidR="00807400" w:rsidRDefault="00A0695C">
      <w:pPr>
        <w:numPr>
          <w:ilvl w:val="0"/>
          <w:numId w:val="10"/>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Mutual respect and tolerance for those with different faiths and beliefs (Her Majesty’s Government UK, 2011; DfE, 2014).</w:t>
      </w:r>
    </w:p>
    <w:p w14:paraId="0E244829"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Schools are required to promote the FBVs and this is set out in the guidance for Social, Moral, Spiritual and Cultural (SMSC) education (DfE, 2014). </w:t>
      </w:r>
    </w:p>
    <w:p w14:paraId="20F1120E" w14:textId="77777777" w:rsidR="00807400" w:rsidRDefault="00A0695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offence of ‘extremism’ is associated with the Prevent Strategy. It is formally defined as ‘vocal or active opposition’ to these values (Her Majesty’s Government UK, 2011). The Standards for Qualified Teachers Status (QTS), require teachers not to undermine the FBVs (DfE, 2011). Additionally, the Prevent Duty places a legal duty on schools (and therefore teachers) to monitor students and report suspicions that they may be at risk of supporting terrorism or extremism (HMG, 2015). </w:t>
      </w:r>
    </w:p>
    <w:p w14:paraId="5B4E6FA9" w14:textId="77777777" w:rsidR="00807400" w:rsidRDefault="00A0695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Enforcement of these policies is ensured by the inspection system, Ofsted, which awards high-stakes grades to schools, and judges the extent to which schools are complying with these requirements (Ofsted, 2015). The Prevent policy has been accused of disproportionately focusing on Muslims (Long, 2017; Faure and Walker, 2021) and it is the case that when the new inspection guidance was introduced several schools in Birmingham, with a high proportion of Muslim students, staff and governors were downgraded (Martin, 2021). However, over time the associations between the Prevent policy and Muslims has become more complicated, for example, the reasons for referrals have become more diverse, with increasing numbers associated with far-right extremism and various forms of ideologically confused extremism, often linked to conspiracy theories and fringe radical politics. Regardless of these developments, the combination of the legally enforceable Prevent Duty and the high stakes school inspection system means that school leaders are under considerable pressure to demonstrate how they have enacted CVE policy.</w:t>
      </w:r>
    </w:p>
    <w:p w14:paraId="6B1E98A8" w14:textId="77777777" w:rsidR="00807400" w:rsidRDefault="00A0695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Critical commentators have argued the lack of a clear theoretical underpinning leaves the Prevent policy open to misinterpretation and undermines the chance of success (Healy, 2018). There is evidence that, where the requirement to promote the FBVs is not informed by relevant knowledge, teachers end up mistakenly trying to promote Britishness by conflating </w:t>
      </w:r>
      <w:r>
        <w:rPr>
          <w:rFonts w:ascii="Times New Roman" w:eastAsia="Times New Roman" w:hAnsi="Times New Roman" w:cs="Times New Roman"/>
          <w:sz w:val="24"/>
          <w:szCs w:val="24"/>
        </w:rPr>
        <w:lastRenderedPageBreak/>
        <w:t xml:space="preserve">the values with British identity, as though democracy or the rule of law were uniquely British. Another misunderstanding is that demonstrating promotion of FBVs requires reference to a narrow range of British cultural identifiers such as the monarchy, drinking tea, eating fish and chips or riding on a red bus (Elton-Chalcraft et al., 2017; Moncrieffe and Moncrieffe, 2019). It has been observed that the DfE chose to sideline citizenship education as the locus for promoting FBVs, thus avoiding any informed debate about the values underpinning public life  (Starkey, 2018). However, some teachers adopt a more critical approach to teaching about the FBVs as complex political concepts and aim to enable students to understand and apply these concepts within a citizenship framework (Vincent, 2019). </w:t>
      </w:r>
    </w:p>
    <w:p w14:paraId="0FD36550" w14:textId="77777777" w:rsidR="00807400" w:rsidRDefault="00A0695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Our research demonstrates that students want their teachers to make time in the classroom to deal with terrorism and extremism, so that they can develop a deeper understanding (Jerome and Elwick, 2019). This chapter is concerned with what knowledge citizenship teachers draw on to rise to this challenge, and what knowledge they want their students to gain. To ensure this discussion is anchored in real teaching practice, we focus on three sample lessons provided by Kirsty White, one of the chapter’s co-authors. We start with a brief description of the lessons and then move into a discussion of how Kirsty drew on several of the forms of knowledge we have been discussing in this book.</w:t>
      </w:r>
    </w:p>
    <w:p w14:paraId="3BE26057" w14:textId="77777777" w:rsidR="00807400" w:rsidRDefault="00807400">
      <w:pPr>
        <w:spacing w:line="480" w:lineRule="auto"/>
        <w:rPr>
          <w:rFonts w:ascii="Times New Roman" w:eastAsia="Times New Roman" w:hAnsi="Times New Roman" w:cs="Times New Roman"/>
          <w:sz w:val="24"/>
          <w:szCs w:val="24"/>
        </w:rPr>
      </w:pPr>
    </w:p>
    <w:p w14:paraId="7696BEDF" w14:textId="77777777" w:rsidR="00807400" w:rsidRDefault="00A0695C">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Introducing three Citizenship lessons as a response to CVE policy</w:t>
      </w:r>
    </w:p>
    <w:p w14:paraId="102565FA"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secondary school in which Kirsty planned and taught these lessons is predominantly white and secular. Her discussions with colleagues in local primary schools indicated that students may have encountered the FBVs through displays and posters and perhaps engaged with the idea of religious toleration through trips to local religious centres, but she suspected many children had not learned about them in any sustained way. These three lessons from </w:t>
      </w:r>
      <w:r>
        <w:rPr>
          <w:rFonts w:ascii="Times New Roman" w:eastAsia="Times New Roman" w:hAnsi="Times New Roman" w:cs="Times New Roman"/>
          <w:sz w:val="24"/>
          <w:szCs w:val="24"/>
        </w:rPr>
        <w:lastRenderedPageBreak/>
        <w:t>different year groups illustrate a variety of approaches adopted. The first example engages with the policy head on, whilst the others approach it more obliquely through other topics. These lessons were developed during the period 2017-2020.</w:t>
      </w:r>
    </w:p>
    <w:p w14:paraId="4B3FD526" w14:textId="77777777" w:rsidR="00807400" w:rsidRDefault="00807400">
      <w:pPr>
        <w:spacing w:line="480" w:lineRule="auto"/>
        <w:rPr>
          <w:rFonts w:ascii="Times New Roman" w:eastAsia="Times New Roman" w:hAnsi="Times New Roman" w:cs="Times New Roman"/>
          <w:sz w:val="24"/>
          <w:szCs w:val="24"/>
        </w:rPr>
      </w:pPr>
    </w:p>
    <w:p w14:paraId="6AE0FC74" w14:textId="77777777" w:rsidR="00807400" w:rsidRDefault="00807400">
      <w:pPr>
        <w:spacing w:line="480" w:lineRule="auto"/>
        <w:rPr>
          <w:rFonts w:ascii="Times New Roman" w:eastAsia="Times New Roman" w:hAnsi="Times New Roman" w:cs="Times New Roman"/>
          <w:sz w:val="24"/>
          <w:szCs w:val="24"/>
        </w:rPr>
      </w:pPr>
    </w:p>
    <w:p w14:paraId="5441CC53" w14:textId="77777777" w:rsidR="00807400" w:rsidRDefault="00A0695C">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Lesson 1: Introducing the FBVs (year 7)</w:t>
      </w:r>
    </w:p>
    <w:p w14:paraId="7B48726D" w14:textId="77777777" w:rsidR="00807400" w:rsidRDefault="00A0695C">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Aims</w:t>
      </w:r>
    </w:p>
    <w:p w14:paraId="255ABD7B" w14:textId="77777777" w:rsidR="00807400" w:rsidRDefault="00A0695C">
      <w:pPr>
        <w:numPr>
          <w:ilvl w:val="0"/>
          <w:numId w:val="1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Develop students’ understanding of FBVs by linking the topic to the concept of human rights (which had already been studied) and the role of Cabinet in the British Government (which was new knowledge). </w:t>
      </w:r>
    </w:p>
    <w:p w14:paraId="2523D128" w14:textId="77777777" w:rsidR="00807400" w:rsidRDefault="00A0695C">
      <w:pPr>
        <w:numPr>
          <w:ilvl w:val="0"/>
          <w:numId w:val="1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Develop students’ ability to use persuasive arguments.</w:t>
      </w:r>
    </w:p>
    <w:p w14:paraId="6A1BAB38" w14:textId="77777777" w:rsidR="00807400" w:rsidRDefault="00A0695C">
      <w:pPr>
        <w:numPr>
          <w:ilvl w:val="0"/>
          <w:numId w:val="1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Help students to understand the FBVs are not uniquely British, but actually reflect principles of international law. </w:t>
      </w:r>
    </w:p>
    <w:p w14:paraId="42846C52" w14:textId="77777777" w:rsidR="00807400" w:rsidRDefault="00A0695C">
      <w:pPr>
        <w:numPr>
          <w:ilvl w:val="0"/>
          <w:numId w:val="1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Establish ground rules to create a safe space to talk, where students are expected to listen to each other and challenge ideas, not each other.</w:t>
      </w:r>
    </w:p>
    <w:p w14:paraId="6D3C4B9F" w14:textId="77777777" w:rsidR="00807400" w:rsidRDefault="00807400">
      <w:pPr>
        <w:spacing w:line="480" w:lineRule="auto"/>
        <w:rPr>
          <w:rFonts w:ascii="Times New Roman" w:eastAsia="Times New Roman" w:hAnsi="Times New Roman" w:cs="Times New Roman"/>
          <w:sz w:val="24"/>
          <w:szCs w:val="24"/>
        </w:rPr>
      </w:pPr>
    </w:p>
    <w:p w14:paraId="3D2DF7B1" w14:textId="77777777" w:rsidR="00807400" w:rsidRDefault="00A0695C">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Activity 1</w:t>
      </w:r>
    </w:p>
    <w:p w14:paraId="27840E8E" w14:textId="77777777" w:rsidR="00807400" w:rsidRDefault="00A0695C">
      <w:pPr>
        <w:numPr>
          <w:ilvl w:val="0"/>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Small groups of students are given a set of 10 cards each providing a concept and a brief definition. The task is to put these into rank order and then sort into two groups - personal and societal (see Box 11.1). The societal values are those characterised as Fundamental British Values (FBVs). These are contrasted with values that can be considered more personal. </w:t>
      </w:r>
    </w:p>
    <w:p w14:paraId="102F1B7B" w14:textId="77777777" w:rsidR="00807400" w:rsidRDefault="00A0695C">
      <w:pPr>
        <w:numPr>
          <w:ilvl w:val="0"/>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Each of the five words associated with the FBVs is written on a sheet of flip chart paper in different locations round the room. Students are asked to consider what the value means to them and write notes on each sheet in response to prompt questions, namely: </w:t>
      </w:r>
    </w:p>
    <w:p w14:paraId="7A3DF281"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 What are the reasons for upholding this value? </w:t>
      </w:r>
    </w:p>
    <w:p w14:paraId="358D413D"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What would life be like if we adopt this value? </w:t>
      </w:r>
    </w:p>
    <w:p w14:paraId="070C9D1A"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What might happen if we don’t adopt this value?  </w:t>
      </w:r>
    </w:p>
    <w:p w14:paraId="09F39D0E" w14:textId="77777777" w:rsidR="00807400" w:rsidRDefault="00A0695C">
      <w:pPr>
        <w:numPr>
          <w:ilvl w:val="0"/>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teacher reviews the sheets at the front of the class and students can comment or discuss the contributions. </w:t>
      </w:r>
    </w:p>
    <w:p w14:paraId="61DCD4D0" w14:textId="77777777" w:rsidR="00807400" w:rsidRDefault="00807400">
      <w:pPr>
        <w:spacing w:line="480" w:lineRule="auto"/>
        <w:rPr>
          <w:rFonts w:ascii="Times New Roman" w:eastAsia="Times New Roman" w:hAnsi="Times New Roman" w:cs="Times New Roman"/>
          <w:sz w:val="24"/>
          <w:szCs w:val="24"/>
        </w:rPr>
      </w:pPr>
    </w:p>
    <w:p w14:paraId="6FDD0846" w14:textId="77777777" w:rsidR="00807400" w:rsidRDefault="00807400">
      <w:pPr>
        <w:spacing w:line="480" w:lineRule="auto"/>
        <w:rPr>
          <w:rFonts w:ascii="Times New Roman" w:eastAsia="Times New Roman" w:hAnsi="Times New Roman" w:cs="Times New Roman"/>
          <w:sz w:val="24"/>
          <w:szCs w:val="24"/>
        </w:rPr>
      </w:pPr>
    </w:p>
    <w:p w14:paraId="0D936808" w14:textId="1D057426"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Box 11.1</w:t>
      </w:r>
      <w:r w:rsidR="00FB5B7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Thinking about values</w:t>
      </w:r>
    </w:p>
    <w:tbl>
      <w:tblPr>
        <w:tblStyle w:val="aff6"/>
        <w:tblW w:w="8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0"/>
        <w:gridCol w:w="4380"/>
      </w:tblGrid>
      <w:tr w:rsidR="00807400" w14:paraId="75CB384A" w14:textId="77777777">
        <w:trPr>
          <w:trHeight w:val="433"/>
        </w:trPr>
        <w:tc>
          <w:tcPr>
            <w:tcW w:w="4240" w:type="dxa"/>
          </w:tcPr>
          <w:p w14:paraId="6B0AC575" w14:textId="77777777" w:rsidR="00807400" w:rsidRDefault="00A0695C">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Societal Values</w:t>
            </w:r>
          </w:p>
        </w:tc>
        <w:tc>
          <w:tcPr>
            <w:tcW w:w="4380" w:type="dxa"/>
          </w:tcPr>
          <w:p w14:paraId="17460F72" w14:textId="77777777" w:rsidR="00807400" w:rsidRDefault="00A0695C">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Personal Values</w:t>
            </w:r>
          </w:p>
        </w:tc>
      </w:tr>
      <w:tr w:rsidR="00807400" w14:paraId="36E1EBFB" w14:textId="77777777">
        <w:trPr>
          <w:trHeight w:val="1386"/>
        </w:trPr>
        <w:tc>
          <w:tcPr>
            <w:tcW w:w="4240" w:type="dxa"/>
          </w:tcPr>
          <w:p w14:paraId="103B71B6"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Democracy</w:t>
            </w:r>
          </w:p>
          <w:p w14:paraId="53860C49"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form of government in which power rests with the people, either directly or through elected representatives.</w:t>
            </w:r>
          </w:p>
        </w:tc>
        <w:tc>
          <w:tcPr>
            <w:tcW w:w="4380" w:type="dxa"/>
          </w:tcPr>
          <w:p w14:paraId="58923D10"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Honesty</w:t>
            </w:r>
          </w:p>
          <w:p w14:paraId="7D3D61E8"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fact or condition of being honest; integrity; truthfulness.</w:t>
            </w:r>
            <w:r>
              <w:rPr>
                <w:rFonts w:ascii="Times New Roman" w:eastAsia="Times New Roman" w:hAnsi="Times New Roman" w:cs="Times New Roman"/>
                <w:sz w:val="24"/>
                <w:szCs w:val="24"/>
              </w:rPr>
              <w:br/>
              <w:t>“He was able to answer the questions with complete honesty.”</w:t>
            </w:r>
          </w:p>
        </w:tc>
      </w:tr>
      <w:tr w:rsidR="00807400" w14:paraId="795162A6" w14:textId="77777777">
        <w:trPr>
          <w:trHeight w:val="841"/>
        </w:trPr>
        <w:tc>
          <w:tcPr>
            <w:tcW w:w="4240" w:type="dxa"/>
          </w:tcPr>
          <w:p w14:paraId="1426C8D7"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Rule of Law</w:t>
            </w:r>
          </w:p>
          <w:p w14:paraId="2EF38C9D"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concept that both the government and citizens know the law and obey it.</w:t>
            </w:r>
          </w:p>
        </w:tc>
        <w:tc>
          <w:tcPr>
            <w:tcW w:w="4380" w:type="dxa"/>
          </w:tcPr>
          <w:p w14:paraId="506638D4"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Peace</w:t>
            </w:r>
          </w:p>
          <w:p w14:paraId="7C9EF607"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state of freedom from war or conflict.</w:t>
            </w:r>
          </w:p>
        </w:tc>
      </w:tr>
      <w:tr w:rsidR="00807400" w14:paraId="03BAF982" w14:textId="77777777">
        <w:trPr>
          <w:trHeight w:val="1122"/>
        </w:trPr>
        <w:tc>
          <w:tcPr>
            <w:tcW w:w="4240" w:type="dxa"/>
          </w:tcPr>
          <w:p w14:paraId="4242811A"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Tolerance</w:t>
            </w:r>
          </w:p>
          <w:p w14:paraId="0C5F9399"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willingness to accept people whose race, religion, opinions, or habits are different from one's own.</w:t>
            </w:r>
          </w:p>
        </w:tc>
        <w:tc>
          <w:tcPr>
            <w:tcW w:w="4380" w:type="dxa"/>
          </w:tcPr>
          <w:p w14:paraId="49ADFD31"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Loyalty</w:t>
            </w:r>
          </w:p>
          <w:p w14:paraId="32D72BE0"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condition of being faithful or loyal.</w:t>
            </w:r>
            <w:r>
              <w:rPr>
                <w:rFonts w:ascii="Times New Roman" w:eastAsia="Times New Roman" w:hAnsi="Times New Roman" w:cs="Times New Roman"/>
                <w:sz w:val="24"/>
                <w:szCs w:val="24"/>
              </w:rPr>
              <w:br/>
              <w:t>“The soldiers showed great loyalty to their country during the war.”</w:t>
            </w:r>
          </w:p>
        </w:tc>
      </w:tr>
      <w:tr w:rsidR="00807400" w14:paraId="045565A9" w14:textId="77777777">
        <w:trPr>
          <w:trHeight w:val="1423"/>
        </w:trPr>
        <w:tc>
          <w:tcPr>
            <w:tcW w:w="4240" w:type="dxa"/>
          </w:tcPr>
          <w:p w14:paraId="3702AE7E"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Respect for others</w:t>
            </w:r>
          </w:p>
          <w:p w14:paraId="7CECEF70"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having or showing respect; being polite.</w:t>
            </w:r>
          </w:p>
        </w:tc>
        <w:tc>
          <w:tcPr>
            <w:tcW w:w="4380" w:type="dxa"/>
          </w:tcPr>
          <w:p w14:paraId="28AA8976"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Trustworthiness</w:t>
            </w:r>
          </w:p>
          <w:p w14:paraId="31682B64"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worthy or deserving of trust and confidence; steadily dependable; reliable.</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“He told his secret to only his most trustworthy friend.”</w:t>
            </w:r>
          </w:p>
        </w:tc>
      </w:tr>
      <w:tr w:rsidR="00807400" w14:paraId="2611C80D" w14:textId="77777777">
        <w:trPr>
          <w:trHeight w:val="1118"/>
        </w:trPr>
        <w:tc>
          <w:tcPr>
            <w:tcW w:w="4240" w:type="dxa"/>
          </w:tcPr>
          <w:p w14:paraId="5B29BF10"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Individual Liberty</w:t>
            </w:r>
          </w:p>
          <w:p w14:paraId="6B93AB44"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right or power to act and choose freely.</w:t>
            </w:r>
            <w:r>
              <w:rPr>
                <w:rFonts w:ascii="Times New Roman" w:eastAsia="Times New Roman" w:hAnsi="Times New Roman" w:cs="Times New Roman"/>
                <w:sz w:val="24"/>
                <w:szCs w:val="24"/>
              </w:rPr>
              <w:br/>
              <w:t>“She had the liberty to vote for anyone she wanted.”</w:t>
            </w:r>
          </w:p>
        </w:tc>
        <w:tc>
          <w:tcPr>
            <w:tcW w:w="4380" w:type="dxa"/>
          </w:tcPr>
          <w:p w14:paraId="1B1E4378"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Empathy</w:t>
            </w:r>
          </w:p>
          <w:p w14:paraId="730F1E7E"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identification with or sharing of another's feelings, situation, or attitudes.</w:t>
            </w:r>
          </w:p>
        </w:tc>
      </w:tr>
    </w:tbl>
    <w:p w14:paraId="1334735E" w14:textId="77777777" w:rsidR="00807400" w:rsidRDefault="00807400">
      <w:pPr>
        <w:spacing w:line="480" w:lineRule="auto"/>
        <w:rPr>
          <w:rFonts w:ascii="Times New Roman" w:eastAsia="Times New Roman" w:hAnsi="Times New Roman" w:cs="Times New Roman"/>
          <w:b/>
          <w:bCs/>
          <w:sz w:val="24"/>
          <w:szCs w:val="24"/>
        </w:rPr>
      </w:pPr>
    </w:p>
    <w:p w14:paraId="5E3A8C0D" w14:textId="77777777" w:rsidR="00807400" w:rsidRDefault="00807400">
      <w:pPr>
        <w:spacing w:line="480" w:lineRule="auto"/>
        <w:rPr>
          <w:rFonts w:ascii="Times New Roman" w:eastAsia="Times New Roman" w:hAnsi="Times New Roman" w:cs="Times New Roman"/>
          <w:b/>
          <w:bCs/>
          <w:sz w:val="24"/>
          <w:szCs w:val="24"/>
        </w:rPr>
      </w:pPr>
    </w:p>
    <w:p w14:paraId="071BC3B1" w14:textId="77777777" w:rsidR="00807400" w:rsidRDefault="00A0695C">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Activity 2</w:t>
      </w:r>
    </w:p>
    <w:p w14:paraId="4F2EFF2B"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activity considers the role of legislation in promoting and protecting societal values. It provides a political context in recognising that governments and ministers need to advance and present arguments to persuade the public and encourage Parliament to adopt these values into legislation. The teacher provides some background context by talking briefly about the relationship between the Prime Minister and Cabinet, what jobs they do, and how they introduce legislation into Parliament, and how Parliament decides. </w:t>
      </w:r>
    </w:p>
    <w:p w14:paraId="58FFF25B" w14:textId="77777777" w:rsidR="00807400" w:rsidRDefault="00A0695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illustrate a compelling argument, the teacher plays a recording of a speech made by a member of the Youth Parliament.  Students are asked to consider the elements that make the speech powerful. They are then asked to write their own speeches, some of which are delivered to the class. </w:t>
      </w:r>
    </w:p>
    <w:p w14:paraId="6E016FD0" w14:textId="77777777" w:rsidR="00807400" w:rsidRDefault="00A0695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plenary discussion the teacher explains how the FBVs were introduced by the Government and asks the class to consider whether there are other values they would like to add. Students are encouraged to link back to prior learning about the Universal Declaration of Human Rights (UDHR) and the UN Convention on the Rights of the Child (UNCRC) to </w:t>
      </w:r>
      <w:r>
        <w:rPr>
          <w:rFonts w:ascii="Times New Roman" w:eastAsia="Times New Roman" w:hAnsi="Times New Roman" w:cs="Times New Roman"/>
          <w:sz w:val="24"/>
          <w:szCs w:val="24"/>
        </w:rPr>
        <w:lastRenderedPageBreak/>
        <w:t xml:space="preserve">make the point that the FBVs are also compatible with universal human rights principles and not distinctively British. </w:t>
      </w:r>
    </w:p>
    <w:p w14:paraId="482B67D6" w14:textId="77777777" w:rsidR="00807400" w:rsidRDefault="00807400">
      <w:pPr>
        <w:spacing w:line="480" w:lineRule="auto"/>
        <w:rPr>
          <w:rFonts w:ascii="Times New Roman" w:eastAsia="Times New Roman" w:hAnsi="Times New Roman" w:cs="Times New Roman"/>
          <w:sz w:val="24"/>
          <w:szCs w:val="24"/>
        </w:rPr>
      </w:pPr>
    </w:p>
    <w:p w14:paraId="443B5E86" w14:textId="77777777" w:rsidR="00807400" w:rsidRDefault="00A0695C">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Lesson 2: Syria and conflict (year 9)</w:t>
      </w:r>
    </w:p>
    <w:p w14:paraId="34A61618" w14:textId="77777777" w:rsidR="00807400" w:rsidRDefault="00A0695C">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Aims</w:t>
      </w:r>
    </w:p>
    <w:p w14:paraId="62AA6145" w14:textId="77777777" w:rsidR="00807400" w:rsidRDefault="00A0695C">
      <w:pPr>
        <w:numPr>
          <w:ilvl w:val="0"/>
          <w:numId w:val="18"/>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illustrate the way in which citizens’ demands for democracy were met with state violence in the case of the authoritarian regime of President Assad in Syria</w:t>
      </w:r>
    </w:p>
    <w:p w14:paraId="3D628A01" w14:textId="77777777" w:rsidR="00807400" w:rsidRDefault="00A0695C">
      <w:pPr>
        <w:numPr>
          <w:ilvl w:val="0"/>
          <w:numId w:val="18"/>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consider the responses available to the international community through the United Nations</w:t>
      </w:r>
    </w:p>
    <w:p w14:paraId="08551E76" w14:textId="77777777" w:rsidR="00807400" w:rsidRDefault="00A0695C">
      <w:pPr>
        <w:numPr>
          <w:ilvl w:val="0"/>
          <w:numId w:val="18"/>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experience arguments and positions made by a range of nation state governments in addressing the Syrian conflicts</w:t>
      </w:r>
    </w:p>
    <w:p w14:paraId="447E3D07" w14:textId="77777777" w:rsidR="00807400" w:rsidRDefault="00A0695C">
      <w:pPr>
        <w:numPr>
          <w:ilvl w:val="0"/>
          <w:numId w:val="18"/>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discuss the possibilities and limitations of the use by the international community of armed force to support the rule of law in Syria</w:t>
      </w:r>
    </w:p>
    <w:p w14:paraId="39F81D2B" w14:textId="77777777" w:rsidR="00807400" w:rsidRDefault="00807400">
      <w:pPr>
        <w:spacing w:line="480" w:lineRule="auto"/>
        <w:rPr>
          <w:rFonts w:ascii="Times New Roman" w:eastAsia="Times New Roman" w:hAnsi="Times New Roman" w:cs="Times New Roman"/>
          <w:sz w:val="24"/>
          <w:szCs w:val="24"/>
        </w:rPr>
      </w:pPr>
    </w:p>
    <w:p w14:paraId="7E83DC79" w14:textId="77777777" w:rsidR="00807400" w:rsidRDefault="00A0695C">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Activity</w:t>
      </w:r>
    </w:p>
    <w:p w14:paraId="23AE16B4"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role-play being ambassadors or negotiators representing a range of countries at the UN in a debate about the Syrian conflict. For this simulation, students are given briefing sheets relevant to the country that they are representing. The countries include a range of democratic and non-democratic governments, including China, France, Iran, Iraq, Israel, Russia, Saudi Arabia, Syria, UK, USA. To illustrate the level of detail in each briefing, text boxes 11.2 and 11.3 provide two examples.</w:t>
      </w:r>
    </w:p>
    <w:p w14:paraId="68A9BDE5" w14:textId="77777777" w:rsidR="00807400" w:rsidRDefault="00807400">
      <w:pPr>
        <w:spacing w:line="480" w:lineRule="auto"/>
        <w:rPr>
          <w:rFonts w:ascii="Times New Roman" w:eastAsia="Times New Roman" w:hAnsi="Times New Roman" w:cs="Times New Roman"/>
          <w:sz w:val="24"/>
          <w:szCs w:val="24"/>
        </w:rPr>
      </w:pPr>
    </w:p>
    <w:p w14:paraId="52E6F778"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Box 11.2: Briefing for Iran</w:t>
      </w:r>
    </w:p>
    <w:tbl>
      <w:tblPr>
        <w:tblStyle w:val="aff7"/>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807400" w14:paraId="4E29981C" w14:textId="77777777">
        <w:tc>
          <w:tcPr>
            <w:tcW w:w="9016" w:type="dxa"/>
          </w:tcPr>
          <w:p w14:paraId="01B0AB69"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are a very powerful country in the area because you have a huge amount of oil. You do hold elections, but the real power in the country is held by just a few people. </w:t>
            </w:r>
          </w:p>
          <w:p w14:paraId="71AC9570" w14:textId="77777777" w:rsidR="00807400" w:rsidRDefault="00807400">
            <w:pPr>
              <w:spacing w:line="480" w:lineRule="auto"/>
              <w:rPr>
                <w:rFonts w:ascii="Times New Roman" w:eastAsia="Times New Roman" w:hAnsi="Times New Roman" w:cs="Times New Roman"/>
                <w:sz w:val="24"/>
                <w:szCs w:val="24"/>
              </w:rPr>
            </w:pPr>
          </w:p>
          <w:p w14:paraId="04EDCFAC"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Important information to help you prepare for the debate: </w:t>
            </w:r>
          </w:p>
          <w:p w14:paraId="3244A5C5" w14:textId="77777777" w:rsidR="00807400" w:rsidRDefault="00A0695C">
            <w:pPr>
              <w:numPr>
                <w:ilvl w:val="0"/>
                <w:numId w:val="19"/>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are good friends with  Syria and its leader President Assad. </w:t>
            </w:r>
          </w:p>
          <w:p w14:paraId="0E983775" w14:textId="77777777" w:rsidR="00807400" w:rsidRDefault="00A0695C">
            <w:pPr>
              <w:numPr>
                <w:ilvl w:val="0"/>
                <w:numId w:val="19"/>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run your country under very strict rules and imprison some people who speak out against your leaders.</w:t>
            </w:r>
          </w:p>
          <w:p w14:paraId="00944286" w14:textId="77777777" w:rsidR="00807400" w:rsidRDefault="00A0695C">
            <w:pPr>
              <w:numPr>
                <w:ilvl w:val="0"/>
                <w:numId w:val="19"/>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People have protested and demanded more freedom in Iran, but the leaders in Iran have ignored them so far.</w:t>
            </w:r>
          </w:p>
          <w:p w14:paraId="52C8B8F0" w14:textId="77777777" w:rsidR="00807400" w:rsidRDefault="00A0695C">
            <w:pPr>
              <w:numPr>
                <w:ilvl w:val="0"/>
                <w:numId w:val="19"/>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When the Syrian people began to protest and demand democracy, President Assad ordered his army to stop the protests - as a result many civilians have died. But you don’t want to encourage people in your country to protest because you are also a dictator.</w:t>
            </w:r>
          </w:p>
          <w:p w14:paraId="796BBA1C" w14:textId="77777777" w:rsidR="00807400" w:rsidRDefault="00A0695C">
            <w:pPr>
              <w:numPr>
                <w:ilvl w:val="0"/>
                <w:numId w:val="19"/>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believe it’s wrong to invade another country. They say that no country has the right to get rid of the leader of another country. </w:t>
            </w:r>
          </w:p>
          <w:p w14:paraId="34CFB132" w14:textId="77777777" w:rsidR="00807400" w:rsidRDefault="00A0695C">
            <w:pPr>
              <w:numPr>
                <w:ilvl w:val="0"/>
                <w:numId w:val="19"/>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Some countries have challenged you. They say you should give your people more freedom and hold elections. </w:t>
            </w:r>
          </w:p>
          <w:p w14:paraId="1ECD89BB" w14:textId="77777777" w:rsidR="00807400" w:rsidRDefault="00A0695C">
            <w:pPr>
              <w:numPr>
                <w:ilvl w:val="0"/>
                <w:numId w:val="19"/>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Your leaders do not like Israel, another country near you, and you have threatened to attack it.</w:t>
            </w:r>
          </w:p>
        </w:tc>
      </w:tr>
    </w:tbl>
    <w:p w14:paraId="2CBD4776" w14:textId="77777777" w:rsidR="00807400" w:rsidRDefault="00807400">
      <w:pPr>
        <w:spacing w:line="480" w:lineRule="auto"/>
        <w:rPr>
          <w:rFonts w:ascii="Times New Roman" w:eastAsia="Times New Roman" w:hAnsi="Times New Roman" w:cs="Times New Roman"/>
          <w:sz w:val="24"/>
          <w:szCs w:val="24"/>
        </w:rPr>
      </w:pPr>
    </w:p>
    <w:p w14:paraId="746B32CF"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Box 11.3: Briefing for USA</w:t>
      </w:r>
    </w:p>
    <w:tbl>
      <w:tblPr>
        <w:tblStyle w:val="aff8"/>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807400" w14:paraId="744843B0" w14:textId="77777777">
        <w:tc>
          <w:tcPr>
            <w:tcW w:w="9016" w:type="dxa"/>
          </w:tcPr>
          <w:p w14:paraId="4F893133"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are the most powerful country in the world. You have the biggest army, the largest businesses and the most influence. </w:t>
            </w:r>
          </w:p>
          <w:p w14:paraId="5D31510F" w14:textId="77777777" w:rsidR="00807400" w:rsidRDefault="00807400">
            <w:pPr>
              <w:spacing w:line="480" w:lineRule="auto"/>
              <w:rPr>
                <w:rFonts w:ascii="Times New Roman" w:eastAsia="Times New Roman" w:hAnsi="Times New Roman" w:cs="Times New Roman"/>
                <w:sz w:val="24"/>
                <w:szCs w:val="24"/>
              </w:rPr>
            </w:pPr>
          </w:p>
          <w:p w14:paraId="47FF9CFE"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Important information to help you prepare for the debate: </w:t>
            </w:r>
          </w:p>
          <w:p w14:paraId="34368F5F" w14:textId="77777777" w:rsidR="00807400" w:rsidRDefault="00A0695C">
            <w:pPr>
              <w:numPr>
                <w:ilvl w:val="0"/>
                <w:numId w:val="20"/>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Assad is a cruel dictator who has refused to give freedom to his people since becoming leader in 2000. Since becoming leader he has closed newspapers, created lots </w:t>
            </w:r>
            <w:r>
              <w:rPr>
                <w:rFonts w:ascii="Times New Roman" w:eastAsia="Times New Roman" w:hAnsi="Times New Roman" w:cs="Times New Roman"/>
                <w:sz w:val="24"/>
                <w:szCs w:val="24"/>
              </w:rPr>
              <w:lastRenderedPageBreak/>
              <w:t xml:space="preserve">of anti-freedom laws brought emergency rule back in place and is heavily influenced by bad people. </w:t>
            </w:r>
          </w:p>
          <w:p w14:paraId="2C26F3D9" w14:textId="77777777" w:rsidR="00807400" w:rsidRDefault="00A0695C">
            <w:pPr>
              <w:numPr>
                <w:ilvl w:val="0"/>
                <w:numId w:val="20"/>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Assad is a strong friend of Iran - not a democratic country like the United States of America. </w:t>
            </w:r>
          </w:p>
          <w:p w14:paraId="6D65987B" w14:textId="77777777" w:rsidR="00807400" w:rsidRDefault="00A0695C">
            <w:pPr>
              <w:numPr>
                <w:ilvl w:val="0"/>
                <w:numId w:val="20"/>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the Syrian people began to protest and demand democracy, Assad attacked them and 7,500 civilians have died. </w:t>
            </w:r>
          </w:p>
          <w:p w14:paraId="6D979FEA" w14:textId="77777777" w:rsidR="00807400" w:rsidRDefault="00A0695C">
            <w:pPr>
              <w:numPr>
                <w:ilvl w:val="0"/>
                <w:numId w:val="20"/>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believe that all people should have the freedom to elect their leaders; therefore you feel you have to support the Syrian people.</w:t>
            </w:r>
          </w:p>
          <w:p w14:paraId="6CDED050" w14:textId="77777777" w:rsidR="00807400" w:rsidRDefault="00A0695C">
            <w:pPr>
              <w:numPr>
                <w:ilvl w:val="0"/>
                <w:numId w:val="20"/>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the last 10 years you invaded Afghanistan and Iraq. Many innocent civilians died in these wars. You did not have permission from the United Nations to invade Iraq.</w:t>
            </w:r>
          </w:p>
          <w:p w14:paraId="3AEA7417" w14:textId="77777777" w:rsidR="00807400" w:rsidRDefault="00A0695C">
            <w:pPr>
              <w:numPr>
                <w:ilvl w:val="0"/>
                <w:numId w:val="20"/>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Some countries believe it’s wrong to invade another country. They say that no country has the right to get rid of the leader of another country.  </w:t>
            </w:r>
          </w:p>
          <w:p w14:paraId="4F7466E7" w14:textId="77777777" w:rsidR="00807400" w:rsidRDefault="00A0695C">
            <w:pPr>
              <w:numPr>
                <w:ilvl w:val="0"/>
                <w:numId w:val="20"/>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Syria has a lot of oil. America needs a lot of oil. Some people say America wants to get rid of President Assad so that it can control Syria’s oil.</w:t>
            </w:r>
          </w:p>
          <w:p w14:paraId="3F9C8FDF" w14:textId="77777777" w:rsidR="00807400" w:rsidRDefault="00A0695C">
            <w:pPr>
              <w:numPr>
                <w:ilvl w:val="0"/>
                <w:numId w:val="20"/>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Some people wonder why America is only willing to invade Iraq when there are lots of other countries in the area, like Saudi Arabia and Iran, with cruel dictators who don’t give any freedom to their people.</w:t>
            </w:r>
          </w:p>
        </w:tc>
      </w:tr>
    </w:tbl>
    <w:p w14:paraId="1359A370" w14:textId="77777777" w:rsidR="00807400" w:rsidRDefault="00807400">
      <w:pPr>
        <w:spacing w:line="480" w:lineRule="auto"/>
        <w:rPr>
          <w:rFonts w:ascii="Times New Roman" w:eastAsia="Times New Roman" w:hAnsi="Times New Roman" w:cs="Times New Roman"/>
          <w:sz w:val="24"/>
          <w:szCs w:val="24"/>
        </w:rPr>
      </w:pPr>
    </w:p>
    <w:p w14:paraId="70DFB3C3" w14:textId="77777777" w:rsidR="00807400" w:rsidRDefault="00A0695C">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Outcomes</w:t>
      </w:r>
    </w:p>
    <w:p w14:paraId="510022E5"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gained an understanding of the mechanisms of the UN and they recognised the complexity of the international community responding to internal events in one member state. They discussed the possible justifications for intervening and considered what response they hoped for from their own government. At the end of the lesson students were given the opportunity of writing letters to their MP or a minister, including the Prime Minister. This illustrates the concept of citizens lobbying and holding accountable their elected </w:t>
      </w:r>
      <w:r>
        <w:rPr>
          <w:rFonts w:ascii="Times New Roman" w:eastAsia="Times New Roman" w:hAnsi="Times New Roman" w:cs="Times New Roman"/>
          <w:sz w:val="24"/>
          <w:szCs w:val="24"/>
        </w:rPr>
        <w:lastRenderedPageBreak/>
        <w:t>representatives. Students reported becoming more engaged with following the news and current affairs.</w:t>
      </w:r>
    </w:p>
    <w:p w14:paraId="0D478A21" w14:textId="77777777" w:rsidR="00807400" w:rsidRDefault="00807400">
      <w:pPr>
        <w:spacing w:line="480" w:lineRule="auto"/>
        <w:rPr>
          <w:rFonts w:ascii="Times New Roman" w:eastAsia="Times New Roman" w:hAnsi="Times New Roman" w:cs="Times New Roman"/>
          <w:sz w:val="24"/>
          <w:szCs w:val="24"/>
        </w:rPr>
      </w:pPr>
    </w:p>
    <w:p w14:paraId="0C8ACCCA" w14:textId="77777777" w:rsidR="00807400" w:rsidRDefault="00807400">
      <w:pPr>
        <w:spacing w:line="480" w:lineRule="auto"/>
        <w:rPr>
          <w:rFonts w:ascii="Times New Roman" w:eastAsia="Times New Roman" w:hAnsi="Times New Roman" w:cs="Times New Roman"/>
          <w:sz w:val="24"/>
          <w:szCs w:val="24"/>
        </w:rPr>
      </w:pPr>
    </w:p>
    <w:p w14:paraId="43DF08B8" w14:textId="77777777" w:rsidR="00807400" w:rsidRDefault="00A0695C">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Lesson 3: Rule of Law and punishment (year 10 GCSE)</w:t>
      </w:r>
    </w:p>
    <w:p w14:paraId="5E5E628B" w14:textId="77777777" w:rsidR="00807400" w:rsidRDefault="00A0695C">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Background</w:t>
      </w:r>
    </w:p>
    <w:p w14:paraId="65F75752"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lesson focused on sentences for offences related to terrorism and extremism and was part of a ‘law’ topic in the Citizenship Studies GCSE exam specification unit on ‘rights and responsibilities’.</w:t>
      </w:r>
    </w:p>
    <w:p w14:paraId="5CDDC30C" w14:textId="77777777" w:rsidR="00807400" w:rsidRDefault="00807400">
      <w:pPr>
        <w:spacing w:line="480" w:lineRule="auto"/>
        <w:rPr>
          <w:rFonts w:ascii="Times New Roman" w:eastAsia="Times New Roman" w:hAnsi="Times New Roman" w:cs="Times New Roman"/>
          <w:b/>
          <w:bCs/>
          <w:sz w:val="24"/>
          <w:szCs w:val="24"/>
        </w:rPr>
      </w:pPr>
    </w:p>
    <w:p w14:paraId="42909088" w14:textId="77777777" w:rsidR="00807400" w:rsidRDefault="00807400">
      <w:pPr>
        <w:spacing w:line="480" w:lineRule="auto"/>
        <w:rPr>
          <w:rFonts w:ascii="Times New Roman" w:eastAsia="Times New Roman" w:hAnsi="Times New Roman" w:cs="Times New Roman"/>
          <w:b/>
          <w:bCs/>
          <w:sz w:val="24"/>
          <w:szCs w:val="24"/>
        </w:rPr>
      </w:pPr>
    </w:p>
    <w:p w14:paraId="3F057DD5" w14:textId="77777777" w:rsidR="00807400" w:rsidRDefault="00A0695C">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Aim</w:t>
      </w:r>
    </w:p>
    <w:p w14:paraId="50B938B5"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consider how judges determine an appropriate sentence in terrorism cases, particularly how they interpret the guidelines provided by the Sentencing Council.</w:t>
      </w:r>
    </w:p>
    <w:p w14:paraId="6CC159E8" w14:textId="77777777" w:rsidR="00807400" w:rsidRDefault="00807400">
      <w:pPr>
        <w:spacing w:line="480" w:lineRule="auto"/>
        <w:rPr>
          <w:rFonts w:ascii="Times New Roman" w:eastAsia="Times New Roman" w:hAnsi="Times New Roman" w:cs="Times New Roman"/>
          <w:sz w:val="24"/>
          <w:szCs w:val="24"/>
        </w:rPr>
      </w:pPr>
    </w:p>
    <w:p w14:paraId="50A31789" w14:textId="77777777" w:rsidR="00807400" w:rsidRDefault="00A0695C">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Activities</w:t>
      </w:r>
    </w:p>
    <w:p w14:paraId="1BCABF29"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teacher attempted to forestall any anxieties by illustrating the historical trends for deaths from terrorism in the UK and a graph of deaths related to alcohol to show that far more people die from alcohol than from terrorism. </w:t>
      </w:r>
    </w:p>
    <w:p w14:paraId="4C1439F2" w14:textId="77777777" w:rsidR="00807400" w:rsidRDefault="00807400">
      <w:pPr>
        <w:spacing w:line="480" w:lineRule="auto"/>
        <w:rPr>
          <w:rFonts w:ascii="Times New Roman" w:eastAsia="Times New Roman" w:hAnsi="Times New Roman" w:cs="Times New Roman"/>
          <w:sz w:val="24"/>
          <w:szCs w:val="24"/>
        </w:rPr>
      </w:pPr>
    </w:p>
    <w:p w14:paraId="3EFFDFA4"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first case study introduced is that of Ben John, a white former university student, who was convicted of downloading extreme and disturbing right-wing documents and writing a letter raging against gay people, immigrants and liberals. He possessed a copy of the </w:t>
      </w:r>
      <w:r>
        <w:rPr>
          <w:rFonts w:ascii="Times New Roman" w:eastAsia="Times New Roman" w:hAnsi="Times New Roman" w:cs="Times New Roman"/>
          <w:i/>
          <w:iCs/>
          <w:sz w:val="24"/>
          <w:szCs w:val="24"/>
        </w:rPr>
        <w:t>Anarchist’s Cookbook</w:t>
      </w:r>
      <w:r>
        <w:rPr>
          <w:rFonts w:ascii="Times New Roman" w:eastAsia="Times New Roman" w:hAnsi="Times New Roman" w:cs="Times New Roman"/>
          <w:sz w:val="24"/>
          <w:szCs w:val="24"/>
        </w:rPr>
        <w:t xml:space="preserve"> that was considered likely to be useful to a person committing or preparing an act of terrorism. The judge initially sentenced him to engage with an English </w:t>
      </w:r>
      <w:r>
        <w:rPr>
          <w:rFonts w:ascii="Times New Roman" w:eastAsia="Times New Roman" w:hAnsi="Times New Roman" w:cs="Times New Roman"/>
          <w:sz w:val="24"/>
          <w:szCs w:val="24"/>
        </w:rPr>
        <w:lastRenderedPageBreak/>
        <w:t xml:space="preserve">literature reading course. However, a year later this was overturned, and he was sentenced to prison for two years. </w:t>
      </w:r>
    </w:p>
    <w:p w14:paraId="7933718A" w14:textId="77777777" w:rsidR="00807400" w:rsidRDefault="00807400">
      <w:pPr>
        <w:spacing w:line="480" w:lineRule="auto"/>
        <w:rPr>
          <w:rFonts w:ascii="Times New Roman" w:eastAsia="Times New Roman" w:hAnsi="Times New Roman" w:cs="Times New Roman"/>
          <w:sz w:val="24"/>
          <w:szCs w:val="24"/>
        </w:rPr>
      </w:pPr>
    </w:p>
    <w:p w14:paraId="4597A89A"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One of the children took the role of a newsreader to introduce the story and then the class had a moment for responses. Students were bemused about why such a penalty should have been selected. This led into a conversation about the purposes of sentencing.</w:t>
      </w:r>
    </w:p>
    <w:p w14:paraId="662C0452" w14:textId="77777777" w:rsidR="00807400" w:rsidRDefault="00A0695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teacher introduced the legislative foundations of terrorist convictions, including:</w:t>
      </w:r>
    </w:p>
    <w:p w14:paraId="41AE989A" w14:textId="77777777" w:rsidR="00807400" w:rsidRDefault="00A0695C">
      <w:pPr>
        <w:numPr>
          <w:ilvl w:val="0"/>
          <w:numId w:val="2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Crown Prosecution Service’s definition of terrorism as the relevant starting point. </w:t>
      </w:r>
    </w:p>
    <w:p w14:paraId="62212B7A" w14:textId="77777777" w:rsidR="00807400" w:rsidRDefault="00A0695C">
      <w:pPr>
        <w:numPr>
          <w:ilvl w:val="0"/>
          <w:numId w:val="2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ten acts of parliament since the Terrorism Act 2000. </w:t>
      </w:r>
    </w:p>
    <w:p w14:paraId="2D8DD7DD" w14:textId="77777777" w:rsidR="00807400" w:rsidRDefault="00A0695C">
      <w:pPr>
        <w:numPr>
          <w:ilvl w:val="0"/>
          <w:numId w:val="2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work of the Sentencing Council, which was set up in 2010 as an independent body to issue guidelines for sentencing to promote greater transparency. </w:t>
      </w:r>
    </w:p>
    <w:p w14:paraId="359F0C62" w14:textId="77777777" w:rsidR="00807400" w:rsidRDefault="00A0695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teacher then explained that once a jury has found someone guilty, the judge decides the sentence, and does so in the light of the defendant’s previous criminal record and other personal details in the context of the sentencing guidelines. </w:t>
      </w:r>
    </w:p>
    <w:p w14:paraId="31AACFF0" w14:textId="77777777" w:rsidR="00807400" w:rsidRDefault="00A0695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Finally, the class moved on to a pair of case studies. </w:t>
      </w:r>
    </w:p>
    <w:p w14:paraId="00F7F6D8" w14:textId="77777777" w:rsidR="00807400" w:rsidRDefault="00A0695C">
      <w:pPr>
        <w:numPr>
          <w:ilvl w:val="0"/>
          <w:numId w:val="2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Case study 1: Andrew Dymock was a far-right Nazi sympathiser convicted of 15 terror offences and hate crimes in 2021.  </w:t>
      </w:r>
    </w:p>
    <w:p w14:paraId="43C568FA" w14:textId="77777777" w:rsidR="00807400" w:rsidRDefault="00A0695C">
      <w:pPr>
        <w:numPr>
          <w:ilvl w:val="0"/>
          <w:numId w:val="2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Case study 2: Tareena Shakil went to Syria to join the Islamic State and posted pictures of her young son posing with weapons. </w:t>
      </w:r>
    </w:p>
    <w:p w14:paraId="0759149E" w14:textId="77777777" w:rsidR="00807400" w:rsidRDefault="00A0695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students read newspaper stories to fill in the key details of each case. Then they read the relevant guidance from the Sentencing Council. And finally, they made their own recommendations about an appropriate sentence and discussed these.</w:t>
      </w:r>
    </w:p>
    <w:p w14:paraId="7F78AF83" w14:textId="77777777" w:rsidR="00807400" w:rsidRDefault="00807400">
      <w:pPr>
        <w:spacing w:line="480" w:lineRule="auto"/>
        <w:rPr>
          <w:rFonts w:ascii="Times New Roman" w:eastAsia="Times New Roman" w:hAnsi="Times New Roman" w:cs="Times New Roman"/>
          <w:b/>
          <w:bCs/>
          <w:sz w:val="24"/>
          <w:szCs w:val="24"/>
        </w:rPr>
      </w:pPr>
    </w:p>
    <w:p w14:paraId="53F224AF" w14:textId="77777777" w:rsidR="00807400" w:rsidRDefault="00A0695C">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Critical reflection on the various forms of professional knowledge used in these lessons</w:t>
      </w:r>
    </w:p>
    <w:p w14:paraId="0B761D3A" w14:textId="77777777" w:rsidR="00807400" w:rsidRDefault="00A0695C">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(i) Critical policy knowledge</w:t>
      </w:r>
    </w:p>
    <w:p w14:paraId="4D4BF0C4" w14:textId="77777777" w:rsidR="00807400" w:rsidRDefault="00A0695C">
      <w:pPr>
        <w:spacing w:line="480" w:lineRule="auto"/>
        <w:rPr>
          <w:rFonts w:ascii="Times New Roman" w:eastAsia="Times New Roman" w:hAnsi="Times New Roman" w:cs="Times New Roman"/>
          <w:sz w:val="24"/>
          <w:szCs w:val="24"/>
        </w:rPr>
      </w:pPr>
      <w:bookmarkStart w:id="0" w:name="_heading=h.mb6jfz2larw" w:colFirst="0" w:colLast="0"/>
      <w:bookmarkEnd w:id="0"/>
      <w:r>
        <w:rPr>
          <w:rFonts w:ascii="Times New Roman" w:eastAsia="Times New Roman" w:hAnsi="Times New Roman" w:cs="Times New Roman"/>
          <w:sz w:val="24"/>
          <w:szCs w:val="24"/>
        </w:rPr>
        <w:lastRenderedPageBreak/>
        <w:t xml:space="preserve">A politically naïve interpretation of CVE policy can lead teachers to de-politicise the FBVs, for example, reducing the rule of law to following school rules; or translating democracy into school council elections (Vincent, 2019). This narrow form of compliance appears to faithfully implement policy, but it actually avoids any serious educational engagement with the concepts. It may simply   be reduced to a rather superficial, but potentially alienating, performance of compliance (Busher and Jerome, 2020). </w:t>
      </w:r>
    </w:p>
    <w:p w14:paraId="75607FF8" w14:textId="77777777" w:rsidR="00807400" w:rsidRDefault="00A0695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Kirsty’s lessons we see how she has opened up the possibility of teaching about the FBVs in a way which engages with them as complex ideas to be understood and used, rather than values simply to be ‘promoted’. The FBVs as a whole are framed as broad human rights principles; ‘democracy’ is problematised, exploring examples where the use of violence is being considered by democratic and non-democratic governments; ‘the rule of law’ is deconstructed to consider the changing nature of legislation (relating to anti-terrorism law), the institutions and processes in the justice system, and the contested nature of punishment. Whilst some commentators have bemoaned the Prevent policy as representing the securitisation of education, we can see here what it might look like to ‘educationalise’ the security policy (Busher and Jerome, 2020). To engage with CVE policy in this spirit is to open up new possibilities for teaching which are being unconsciously closed down by other colleagues (Vincent, 2019). It is, then, a foundational form of teacher knowledge which, in this example, is crucial in opening up or closing down educational possibilities.</w:t>
      </w:r>
    </w:p>
    <w:p w14:paraId="121A3519" w14:textId="77777777" w:rsidR="00807400" w:rsidRDefault="00A0695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Kirsty’s lessons illustrate that what we do in practice, what we teach and how students experience it, is not </w:t>
      </w:r>
      <w:r>
        <w:rPr>
          <w:rFonts w:ascii="Times New Roman" w:eastAsia="Times New Roman" w:hAnsi="Times New Roman" w:cs="Times New Roman"/>
          <w:i/>
          <w:iCs/>
          <w:sz w:val="24"/>
          <w:szCs w:val="24"/>
        </w:rPr>
        <w:t>determined</w:t>
      </w:r>
      <w:r>
        <w:rPr>
          <w:rFonts w:ascii="Times New Roman" w:eastAsia="Times New Roman" w:hAnsi="Times New Roman" w:cs="Times New Roman"/>
          <w:sz w:val="24"/>
          <w:szCs w:val="24"/>
        </w:rPr>
        <w:t xml:space="preserve"> by policy. Rather, Citizenship teachers frame and interpret the policy. By ‘framing’ a situation, professionals to some extent construct reality, or at least determine how they will engage with reality (Schön, 1983 p.310). This framing process brings some features into focus and filters out others, it defines what needs to be addressed and how one might act. </w:t>
      </w:r>
    </w:p>
    <w:p w14:paraId="1273B80E" w14:textId="77777777" w:rsidR="00807400" w:rsidRDefault="00A0695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Teachers can occupy very different roles and undertake very different actions in relation to the same policy (Ball, Maguire and Braun, 2012). Teachers’ agency in relation to policy results from their own framing of the policy, the networks and resources they can draw on, and their own educational vision (Priestley, Biesta and Robinson, 2015). Agency results from the interaction of these forces in specific contexts, rather than being some fixed value or attribute of the teacher. This was borne out in wider research in relation to the Prevent policy which has shown how teachers can influence how the policy is implemented in their schools (Elwick and Jerome, 2019). Here, we can see how Kirsty has drawn on her own nuanced understanding of the role of law (national and international), the limitations of international cooperation, and the challenge of when and how to use violence. In doing so she avoided falling into simplistic models of promoting the FBVs and chose to frame these concepts as contested and open to negotiation.</w:t>
      </w:r>
    </w:p>
    <w:p w14:paraId="7C68BEDC" w14:textId="77777777" w:rsidR="00807400" w:rsidRDefault="00807400">
      <w:pPr>
        <w:spacing w:line="480" w:lineRule="auto"/>
        <w:rPr>
          <w:rFonts w:ascii="Times New Roman" w:eastAsia="Times New Roman" w:hAnsi="Times New Roman" w:cs="Times New Roman"/>
          <w:sz w:val="24"/>
          <w:szCs w:val="24"/>
        </w:rPr>
      </w:pPr>
    </w:p>
    <w:p w14:paraId="596EEC97" w14:textId="77777777" w:rsidR="00807400" w:rsidRDefault="00A0695C">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(ii) Pedagogic knowledge</w:t>
      </w:r>
    </w:p>
    <w:p w14:paraId="0F7741A3"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feature that is evident from reviewing these lessons is the extent to which the teacher consistently finds ways to open the classroom to discussion. From the outset, as students are introduced to the FBVs, they are engaged in a critical discussion of values and then encouraged to discuss the FBVs, what they might mean in reality, and what might happen if they were not adopted. The students are not simply given information, they are engaged in expansive discussions as they are introduced to the new content. Similarly, the complexities of the situation in Syria are taught through a role-playing discussion. This means that students have to engage with the information in order to play their roles, but also that they are immediately engaging with the fact that there are multiple perceptions of the conflict and what should be done about it. In the third lesson, we can also see that relatively straightforward information about anti-terrorist legislation, the justice system, sentencing </w:t>
      </w:r>
      <w:r>
        <w:rPr>
          <w:rFonts w:ascii="Times New Roman" w:eastAsia="Times New Roman" w:hAnsi="Times New Roman" w:cs="Times New Roman"/>
          <w:sz w:val="24"/>
          <w:szCs w:val="24"/>
        </w:rPr>
        <w:lastRenderedPageBreak/>
        <w:t>procedures, and the nature of punishment is embedded in a set of sentencing activities, requiring students to devise a position, defend it and, potentially, revise it in the light of the conversation. This enables the students to understand how these relatively inert documents (Acts of Parliament, sentencing guidelines etc.) are brought to life in a living system, where there is always room for negotiation and interpretation. Talk then emerges as central to the experience of these citizenship classrooms, and the teacher’s commitment to talk leads her to adopt pedagogic strategies including persuasion, role play and problem solving in her lessons.</w:t>
      </w:r>
    </w:p>
    <w:p w14:paraId="6D1DC974" w14:textId="77777777" w:rsidR="00807400" w:rsidRDefault="00807400">
      <w:pPr>
        <w:spacing w:line="480" w:lineRule="auto"/>
        <w:rPr>
          <w:rFonts w:ascii="Times New Roman" w:eastAsia="Times New Roman" w:hAnsi="Times New Roman" w:cs="Times New Roman"/>
          <w:sz w:val="24"/>
          <w:szCs w:val="24"/>
        </w:rPr>
      </w:pPr>
    </w:p>
    <w:p w14:paraId="2AC64CAC" w14:textId="77777777" w:rsidR="00807400" w:rsidRDefault="00A0695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commitment to creating space for critical discussion is a key finding in research on addressing extremism in the classroom (Taylor et al, 2021). Teachers often felt it was important to discuss a range of opinions and also to ensure that students had the opportunity to have their own, and their families’, views challenged. Young people need to learn how to disagree but also, crucially, to experience the discomfort and unease that come from genuine disagreement. A democratic culture implies that we are robust enough to hear views that might offend or upset us, and that we must learn to live with the emotional repercussions of such experiences (Davies, 2008). This requires careful consideration of what we might mean by the often-expressed idea that the classroom should be a ‘safe space’. It is a safe space to disagree and to be confronted with difference and experience toleration, which is rather different from the stereotyped view that such spaces are safe from offensive or potentially upsetting and challenging views. </w:t>
      </w:r>
    </w:p>
    <w:p w14:paraId="14781AC2" w14:textId="77777777" w:rsidR="00807400" w:rsidRDefault="00A0695C">
      <w:pPr>
        <w:spacing w:line="480" w:lineRule="auto"/>
        <w:ind w:firstLine="720"/>
        <w:rPr>
          <w:rFonts w:ascii="Times New Roman" w:eastAsia="Times New Roman" w:hAnsi="Times New Roman" w:cs="Times New Roman"/>
          <w:sz w:val="24"/>
          <w:szCs w:val="24"/>
        </w:rPr>
      </w:pPr>
      <w:bookmarkStart w:id="1" w:name="_heading=h.wgyhfd4v2suy" w:colFirst="0" w:colLast="0"/>
      <w:bookmarkEnd w:id="1"/>
      <w:r>
        <w:rPr>
          <w:rFonts w:ascii="Times New Roman" w:eastAsia="Times New Roman" w:hAnsi="Times New Roman" w:cs="Times New Roman"/>
          <w:sz w:val="24"/>
          <w:szCs w:val="24"/>
        </w:rPr>
        <w:t xml:space="preserve">The second aspect of pedagogic knowledge evident here is the frequent use of case studies. Students are given concrete case studies to consider and they are expected to apply the knowledge and processes encountered in the lesson. For example, in the third lesson students are asked to recommend a sentence for individuals. Here the case study provides a bounded scenario in which general principles can be applied in order to better understand </w:t>
      </w:r>
      <w:r>
        <w:rPr>
          <w:rFonts w:ascii="Times New Roman" w:eastAsia="Times New Roman" w:hAnsi="Times New Roman" w:cs="Times New Roman"/>
          <w:sz w:val="24"/>
          <w:szCs w:val="24"/>
        </w:rPr>
        <w:lastRenderedPageBreak/>
        <w:t xml:space="preserve">how those principles work in practice, and how conflicting considerations have to be practically balanced. Case studies are also used so that students can learn about these underlying concepts through the specific examples. In other subjects this has been referred to as building the depth into the case study (Banham, 2000). In relation to teaching controversial issues, Hess (2009) has demonstrated how important it is to teach the case study details in such a way that it leads to a better understanding of the perennial issue – the issue which makes it controversial. Here, the case studies have to be constructed so that they have a genuinely open nature. For example, not ‘is Assad justified in killing Syrians?’ but ‘what should different governments do about Syria?’ and ‘why do answers differ between people?’. </w:t>
      </w:r>
    </w:p>
    <w:p w14:paraId="5EA747C3" w14:textId="77777777" w:rsidR="00807400" w:rsidRDefault="00807400">
      <w:pPr>
        <w:spacing w:line="480" w:lineRule="auto"/>
        <w:rPr>
          <w:rFonts w:ascii="Times New Roman" w:eastAsia="Times New Roman" w:hAnsi="Times New Roman" w:cs="Times New Roman"/>
          <w:sz w:val="24"/>
          <w:szCs w:val="24"/>
        </w:rPr>
      </w:pPr>
    </w:p>
    <w:p w14:paraId="5278E206" w14:textId="77777777" w:rsidR="00807400" w:rsidRDefault="00A0695C">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(iii) Conceptual knowledge </w:t>
      </w:r>
    </w:p>
    <w:p w14:paraId="0283E663"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idea that we might build depth into a case study or teach through a case study to the perennial issues begs a question – what is it students are supposed to be learning more deeply, or to put it in Hess’s terms, what is the distinction between the case and the underlying issue? The answer takes us to the content knowledge more directly, and more specifically to the teachers’ understanding of the substantive knowledge to be learned by students. We might start by clarifying what knowledge is being developed in each lesson (Table 11.1).</w:t>
      </w:r>
    </w:p>
    <w:p w14:paraId="192A0E27" w14:textId="77777777" w:rsidR="00807400" w:rsidRDefault="00807400">
      <w:pPr>
        <w:spacing w:line="480" w:lineRule="auto"/>
        <w:rPr>
          <w:rFonts w:ascii="Times New Roman" w:eastAsia="Times New Roman" w:hAnsi="Times New Roman" w:cs="Times New Roman"/>
          <w:sz w:val="24"/>
          <w:szCs w:val="24"/>
        </w:rPr>
      </w:pPr>
    </w:p>
    <w:p w14:paraId="7D6DABC2"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11.1: Knowledge within the three case study lessons</w:t>
      </w:r>
    </w:p>
    <w:tbl>
      <w:tblPr>
        <w:tblStyle w:val="aff9"/>
        <w:tblW w:w="9019" w:type="dxa"/>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1416"/>
        <w:gridCol w:w="2410"/>
        <w:gridCol w:w="2551"/>
        <w:gridCol w:w="2642"/>
      </w:tblGrid>
      <w:tr w:rsidR="00807400" w14:paraId="3376C2B1" w14:textId="77777777">
        <w:tc>
          <w:tcPr>
            <w:tcW w:w="1416" w:type="dxa"/>
            <w:shd w:val="clear" w:color="auto" w:fill="E8E8E8"/>
          </w:tcPr>
          <w:p w14:paraId="3EEE97F6" w14:textId="77777777" w:rsidR="00807400" w:rsidRDefault="00A0695C">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Conceptual themes</w:t>
            </w:r>
          </w:p>
        </w:tc>
        <w:tc>
          <w:tcPr>
            <w:tcW w:w="2410" w:type="dxa"/>
            <w:shd w:val="clear" w:color="auto" w:fill="E8E8E8"/>
          </w:tcPr>
          <w:p w14:paraId="624893B4" w14:textId="77777777" w:rsidR="00807400" w:rsidRDefault="00A0695C">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Prior learning feeding into the lesson</w:t>
            </w:r>
          </w:p>
        </w:tc>
        <w:tc>
          <w:tcPr>
            <w:tcW w:w="2551" w:type="dxa"/>
            <w:shd w:val="clear" w:color="auto" w:fill="E8E8E8"/>
          </w:tcPr>
          <w:p w14:paraId="15574A58" w14:textId="77777777" w:rsidR="00807400" w:rsidRDefault="00A0695C">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Core knowledge within the lesson</w:t>
            </w:r>
          </w:p>
        </w:tc>
        <w:tc>
          <w:tcPr>
            <w:tcW w:w="2642" w:type="dxa"/>
            <w:shd w:val="clear" w:color="auto" w:fill="E8E8E8"/>
          </w:tcPr>
          <w:p w14:paraId="50CBBF4D" w14:textId="77777777" w:rsidR="00807400" w:rsidRDefault="00A0695C">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Knowledge that will be used again</w:t>
            </w:r>
          </w:p>
        </w:tc>
      </w:tr>
      <w:tr w:rsidR="00807400" w14:paraId="22ED7634" w14:textId="77777777">
        <w:tc>
          <w:tcPr>
            <w:tcW w:w="9019" w:type="dxa"/>
            <w:gridSpan w:val="4"/>
            <w:shd w:val="clear" w:color="auto" w:fill="E8E8E8"/>
          </w:tcPr>
          <w:p w14:paraId="6E17D258" w14:textId="77777777" w:rsidR="00807400" w:rsidRDefault="00A0695C">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Lesson 1</w:t>
            </w:r>
          </w:p>
        </w:tc>
      </w:tr>
      <w:tr w:rsidR="00807400" w14:paraId="5EEC346F" w14:textId="77777777">
        <w:tc>
          <w:tcPr>
            <w:tcW w:w="1416" w:type="dxa"/>
            <w:shd w:val="clear" w:color="auto" w:fill="E8E8E8"/>
          </w:tcPr>
          <w:p w14:paraId="0ADC62AA"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Rights</w:t>
            </w:r>
          </w:p>
        </w:tc>
        <w:tc>
          <w:tcPr>
            <w:tcW w:w="2410" w:type="dxa"/>
          </w:tcPr>
          <w:p w14:paraId="43C1C8F5"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 to Human Rights</w:t>
            </w:r>
          </w:p>
        </w:tc>
        <w:tc>
          <w:tcPr>
            <w:tcW w:w="2551" w:type="dxa"/>
          </w:tcPr>
          <w:p w14:paraId="7C47377E"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Using Human Rights Standards to critique policy</w:t>
            </w:r>
          </w:p>
        </w:tc>
        <w:tc>
          <w:tcPr>
            <w:tcW w:w="2642" w:type="dxa"/>
          </w:tcPr>
          <w:p w14:paraId="5328CA78"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Applying Human Rights to other contexts</w:t>
            </w:r>
          </w:p>
        </w:tc>
      </w:tr>
      <w:tr w:rsidR="00807400" w14:paraId="43385682" w14:textId="77777777">
        <w:tc>
          <w:tcPr>
            <w:tcW w:w="1416" w:type="dxa"/>
            <w:shd w:val="clear" w:color="auto" w:fill="E8E8E8"/>
          </w:tcPr>
          <w:p w14:paraId="26A4742C"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Government</w:t>
            </w:r>
          </w:p>
        </w:tc>
        <w:tc>
          <w:tcPr>
            <w:tcW w:w="2410" w:type="dxa"/>
          </w:tcPr>
          <w:p w14:paraId="0E097A67" w14:textId="77777777" w:rsidR="00807400" w:rsidRDefault="00807400">
            <w:pPr>
              <w:spacing w:line="480" w:lineRule="auto"/>
              <w:rPr>
                <w:rFonts w:ascii="Times New Roman" w:eastAsia="Times New Roman" w:hAnsi="Times New Roman" w:cs="Times New Roman"/>
                <w:sz w:val="24"/>
                <w:szCs w:val="24"/>
              </w:rPr>
            </w:pPr>
          </w:p>
        </w:tc>
        <w:tc>
          <w:tcPr>
            <w:tcW w:w="2551" w:type="dxa"/>
          </w:tcPr>
          <w:p w14:paraId="1CA980A9"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 to the role of the Cabinet in government, legislation and parliament</w:t>
            </w:r>
          </w:p>
        </w:tc>
        <w:tc>
          <w:tcPr>
            <w:tcW w:w="2642" w:type="dxa"/>
          </w:tcPr>
          <w:p w14:paraId="2DB9928F"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Government and legislation used again e.g. in yr 10 terrorism legislation</w:t>
            </w:r>
          </w:p>
        </w:tc>
      </w:tr>
      <w:tr w:rsidR="00807400" w14:paraId="27067C1F" w14:textId="77777777">
        <w:tc>
          <w:tcPr>
            <w:tcW w:w="1416" w:type="dxa"/>
            <w:shd w:val="clear" w:color="auto" w:fill="E8E8E8"/>
          </w:tcPr>
          <w:p w14:paraId="635B9BE8"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Ethics</w:t>
            </w:r>
          </w:p>
        </w:tc>
        <w:tc>
          <w:tcPr>
            <w:tcW w:w="2410" w:type="dxa"/>
          </w:tcPr>
          <w:p w14:paraId="4C78F596" w14:textId="77777777" w:rsidR="00807400" w:rsidRDefault="00807400">
            <w:pPr>
              <w:spacing w:line="480" w:lineRule="auto"/>
              <w:rPr>
                <w:rFonts w:ascii="Times New Roman" w:eastAsia="Times New Roman" w:hAnsi="Times New Roman" w:cs="Times New Roman"/>
                <w:sz w:val="24"/>
                <w:szCs w:val="24"/>
              </w:rPr>
            </w:pPr>
          </w:p>
        </w:tc>
        <w:tc>
          <w:tcPr>
            <w:tcW w:w="2551" w:type="dxa"/>
          </w:tcPr>
          <w:p w14:paraId="57726152"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FBVs and the importance of shared values / principles for living together</w:t>
            </w:r>
          </w:p>
        </w:tc>
        <w:tc>
          <w:tcPr>
            <w:tcW w:w="2642" w:type="dxa"/>
          </w:tcPr>
          <w:p w14:paraId="5A0C5ADB"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Ethics as an on-going theme</w:t>
            </w:r>
          </w:p>
        </w:tc>
      </w:tr>
      <w:tr w:rsidR="00807400" w14:paraId="76A7C721" w14:textId="77777777">
        <w:tc>
          <w:tcPr>
            <w:tcW w:w="9019" w:type="dxa"/>
            <w:gridSpan w:val="4"/>
            <w:shd w:val="clear" w:color="auto" w:fill="E8E8E8"/>
          </w:tcPr>
          <w:p w14:paraId="3ED46EB4"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Lesson 2</w:t>
            </w:r>
          </w:p>
        </w:tc>
      </w:tr>
      <w:tr w:rsidR="00807400" w14:paraId="4AFBE3BA" w14:textId="77777777">
        <w:tc>
          <w:tcPr>
            <w:tcW w:w="1416" w:type="dxa"/>
            <w:shd w:val="clear" w:color="auto" w:fill="E8E8E8"/>
          </w:tcPr>
          <w:p w14:paraId="1D8F31BB"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Democracy</w:t>
            </w:r>
          </w:p>
        </w:tc>
        <w:tc>
          <w:tcPr>
            <w:tcW w:w="2410" w:type="dxa"/>
          </w:tcPr>
          <w:p w14:paraId="19738669"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 What is democracy</w:t>
            </w:r>
          </w:p>
        </w:tc>
        <w:tc>
          <w:tcPr>
            <w:tcW w:w="2551" w:type="dxa"/>
          </w:tcPr>
          <w:p w14:paraId="7FF83BD0"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Proponents / opponents of democracy in Syria</w:t>
            </w:r>
          </w:p>
        </w:tc>
        <w:tc>
          <w:tcPr>
            <w:tcW w:w="2642" w:type="dxa"/>
          </w:tcPr>
          <w:p w14:paraId="711B9A50"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Democratic and non-democratic governments</w:t>
            </w:r>
          </w:p>
        </w:tc>
      </w:tr>
      <w:tr w:rsidR="00807400" w14:paraId="29A2FEE3" w14:textId="77777777">
        <w:tc>
          <w:tcPr>
            <w:tcW w:w="1416" w:type="dxa"/>
            <w:shd w:val="clear" w:color="auto" w:fill="E8E8E8"/>
          </w:tcPr>
          <w:p w14:paraId="3C5C295E"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Peace &amp; conflict</w:t>
            </w:r>
          </w:p>
        </w:tc>
        <w:tc>
          <w:tcPr>
            <w:tcW w:w="2410" w:type="dxa"/>
          </w:tcPr>
          <w:p w14:paraId="36ABC9F9"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Prior study of the foundation of the UN</w:t>
            </w:r>
          </w:p>
        </w:tc>
        <w:tc>
          <w:tcPr>
            <w:tcW w:w="2551" w:type="dxa"/>
          </w:tcPr>
          <w:p w14:paraId="77703297"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Foreign policy in relation to Syria and the use of force</w:t>
            </w:r>
          </w:p>
        </w:tc>
        <w:tc>
          <w:tcPr>
            <w:tcW w:w="2642" w:type="dxa"/>
          </w:tcPr>
          <w:p w14:paraId="2651C298"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International relations and the role of the UN</w:t>
            </w:r>
          </w:p>
        </w:tc>
      </w:tr>
      <w:tr w:rsidR="00807400" w14:paraId="7C840AD4" w14:textId="77777777">
        <w:tc>
          <w:tcPr>
            <w:tcW w:w="1416" w:type="dxa"/>
            <w:shd w:val="clear" w:color="auto" w:fill="E8E8E8"/>
          </w:tcPr>
          <w:p w14:paraId="6D1910BF"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Active citizenship</w:t>
            </w:r>
          </w:p>
        </w:tc>
        <w:tc>
          <w:tcPr>
            <w:tcW w:w="2410" w:type="dxa"/>
          </w:tcPr>
          <w:p w14:paraId="75A457C2"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 do people affect change?</w:t>
            </w:r>
          </w:p>
        </w:tc>
        <w:tc>
          <w:tcPr>
            <w:tcW w:w="2551" w:type="dxa"/>
          </w:tcPr>
          <w:p w14:paraId="3CC7AEBA"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Citizens’ opportunities to lobby the government (inc. letter writing)</w:t>
            </w:r>
          </w:p>
        </w:tc>
        <w:tc>
          <w:tcPr>
            <w:tcW w:w="2642" w:type="dxa"/>
          </w:tcPr>
          <w:p w14:paraId="5386FC25"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Forms of action that could be used in GCSE active citizenship projects</w:t>
            </w:r>
          </w:p>
        </w:tc>
      </w:tr>
      <w:tr w:rsidR="00807400" w14:paraId="53123332" w14:textId="77777777">
        <w:tc>
          <w:tcPr>
            <w:tcW w:w="9019" w:type="dxa"/>
            <w:gridSpan w:val="4"/>
            <w:shd w:val="clear" w:color="auto" w:fill="E8E8E8"/>
          </w:tcPr>
          <w:p w14:paraId="70A05CBA"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Lesson 3</w:t>
            </w:r>
          </w:p>
        </w:tc>
      </w:tr>
      <w:tr w:rsidR="00807400" w14:paraId="1BAD7526" w14:textId="77777777">
        <w:tc>
          <w:tcPr>
            <w:tcW w:w="1416" w:type="dxa"/>
            <w:shd w:val="clear" w:color="auto" w:fill="E8E8E8"/>
          </w:tcPr>
          <w:p w14:paraId="7C42E718"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Government</w:t>
            </w:r>
          </w:p>
        </w:tc>
        <w:tc>
          <w:tcPr>
            <w:tcW w:w="2410" w:type="dxa"/>
          </w:tcPr>
          <w:p w14:paraId="2DA86D12"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Government, parliament and making the law</w:t>
            </w:r>
          </w:p>
        </w:tc>
        <w:tc>
          <w:tcPr>
            <w:tcW w:w="2551" w:type="dxa"/>
          </w:tcPr>
          <w:p w14:paraId="316D0E00"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amendment / replacement of terrorism legislation</w:t>
            </w:r>
          </w:p>
        </w:tc>
        <w:tc>
          <w:tcPr>
            <w:tcW w:w="2642" w:type="dxa"/>
          </w:tcPr>
          <w:p w14:paraId="3FBEF443"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work of parliament in responding to contemporary issues</w:t>
            </w:r>
          </w:p>
        </w:tc>
      </w:tr>
      <w:tr w:rsidR="00807400" w14:paraId="54D26D5B" w14:textId="77777777">
        <w:tc>
          <w:tcPr>
            <w:tcW w:w="1416" w:type="dxa"/>
            <w:shd w:val="clear" w:color="auto" w:fill="E8E8E8"/>
          </w:tcPr>
          <w:p w14:paraId="6873FF3B"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Justice</w:t>
            </w:r>
          </w:p>
        </w:tc>
        <w:tc>
          <w:tcPr>
            <w:tcW w:w="2410" w:type="dxa"/>
          </w:tcPr>
          <w:p w14:paraId="45135EC3"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role of the judiciary in implementing the law</w:t>
            </w:r>
          </w:p>
        </w:tc>
        <w:tc>
          <w:tcPr>
            <w:tcW w:w="2551" w:type="dxa"/>
          </w:tcPr>
          <w:p w14:paraId="13274100"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Crown Prosecution Service; the Sentencing Council; the role of judges</w:t>
            </w:r>
          </w:p>
        </w:tc>
        <w:tc>
          <w:tcPr>
            <w:tcW w:w="2642" w:type="dxa"/>
          </w:tcPr>
          <w:p w14:paraId="63F54E87"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Evaluation of the justice system</w:t>
            </w:r>
          </w:p>
        </w:tc>
      </w:tr>
      <w:tr w:rsidR="00807400" w14:paraId="47718025" w14:textId="77777777">
        <w:tc>
          <w:tcPr>
            <w:tcW w:w="1416" w:type="dxa"/>
            <w:shd w:val="clear" w:color="auto" w:fill="E8E8E8"/>
          </w:tcPr>
          <w:p w14:paraId="27BA0D82"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Ethics</w:t>
            </w:r>
          </w:p>
        </w:tc>
        <w:tc>
          <w:tcPr>
            <w:tcW w:w="2410" w:type="dxa"/>
          </w:tcPr>
          <w:p w14:paraId="27A4F8B6"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Prior work on values (diversity and community cohesion)</w:t>
            </w:r>
          </w:p>
        </w:tc>
        <w:tc>
          <w:tcPr>
            <w:tcW w:w="2551" w:type="dxa"/>
          </w:tcPr>
          <w:p w14:paraId="7EE638B4"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nature and purpose of punishment</w:t>
            </w:r>
          </w:p>
        </w:tc>
        <w:tc>
          <w:tcPr>
            <w:tcW w:w="2642" w:type="dxa"/>
          </w:tcPr>
          <w:p w14:paraId="611A4261"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Ethics on-going theme</w:t>
            </w:r>
          </w:p>
        </w:tc>
      </w:tr>
    </w:tbl>
    <w:p w14:paraId="684DDD69" w14:textId="77777777" w:rsidR="00807400" w:rsidRDefault="00807400">
      <w:pPr>
        <w:spacing w:line="480" w:lineRule="auto"/>
        <w:rPr>
          <w:rFonts w:ascii="Times New Roman" w:eastAsia="Times New Roman" w:hAnsi="Times New Roman" w:cs="Times New Roman"/>
          <w:sz w:val="24"/>
          <w:szCs w:val="24"/>
        </w:rPr>
      </w:pPr>
    </w:p>
    <w:p w14:paraId="0E33FA69" w14:textId="77777777" w:rsidR="00807400" w:rsidRDefault="00A0695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sketching out the various elements of subject knowledge that comprise these lessons we can see that there are several elements of note. The planning sometimes builds on prior learning explicitly, for example by applying prior learning to a new context, and at other times new content is introduced. Some of these single lessons therefore only make sense in the context of the sequence of lessons. Single lessons often include several distinct strands of content knowledge being developed at the same time. These knowledge strands are often associated with other academic or professional fields of knowledge. For example, in lesson 1 the teacher is drawing on knowledge about human rights as international law, and how this can be used to develop a standard for holding the government to account. In the same lesson the knowledge on the role of the Cabinet and parliament in relation to legislation is relatively straightforward constitutional knowledge, associated primarily with the study of politics and government. But the third strand is about understanding what values are and how they function at an individual and collective level, and this draws more on ethics or political philosophy. This underlines how complicated subject knowledge can be in citizenship as not only does the teacher need to draw on these different disciplinary sources of knowledge, they also need to be alert to the fact that each discipline might produce a rather different form of knowledge. For example, drawing on ethics to think about the most desirable shared values in </w:t>
      </w:r>
      <w:r>
        <w:rPr>
          <w:rFonts w:ascii="Times New Roman" w:eastAsia="Times New Roman" w:hAnsi="Times New Roman" w:cs="Times New Roman"/>
          <w:sz w:val="24"/>
          <w:szCs w:val="24"/>
        </w:rPr>
        <w:lastRenderedPageBreak/>
        <w:t>a democracy might help students to spot arguments, make connections and expand their thinking; but this will yield different kinds of outcomes compared to simply learning about the constitutional relationship between parliament and Cabinet. The latter can lead to some indisputably ‘correct’ answers, whereas a successful outcome in relation to the first task is going to remain open to dispute.</w:t>
      </w:r>
    </w:p>
    <w:p w14:paraId="7B1A4BE2" w14:textId="77777777" w:rsidR="00807400" w:rsidRDefault="00A0695C">
      <w:pPr>
        <w:spacing w:line="48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Taking the FBVs as concepts to be taught provides the teacher with a challenge, for example, what is the concept of the rule of law? A politically naïve reading might simply assume it is the requirement that citizens should always follow the law. But a more critical engagement with subject knowledge leads to the discovery of a rich and complex tradition of thinking. Lord Bingham (2010) offered the following definition, drawing on his experience as the only person to hold all three offices as Master of the Rolls, Lord Chief Justice of England and Wales and Senior Law Lord of the United Kingdom:</w:t>
      </w:r>
    </w:p>
    <w:p w14:paraId="3ADE10B7" w14:textId="77777777" w:rsidR="00807400" w:rsidRDefault="00A0695C">
      <w:pPr>
        <w:numPr>
          <w:ilvl w:val="0"/>
          <w:numId w:val="1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law must be accessible, clear and predictable.</w:t>
      </w:r>
    </w:p>
    <w:p w14:paraId="743420CE" w14:textId="77777777" w:rsidR="00807400" w:rsidRDefault="00A0695C">
      <w:pPr>
        <w:numPr>
          <w:ilvl w:val="0"/>
          <w:numId w:val="1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Issues should be resolved by application of the law and not the exercise of discretion.</w:t>
      </w:r>
    </w:p>
    <w:p w14:paraId="0EDB875C" w14:textId="77777777" w:rsidR="00807400" w:rsidRDefault="00A0695C">
      <w:pPr>
        <w:numPr>
          <w:ilvl w:val="0"/>
          <w:numId w:val="1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law should apply equally to all.</w:t>
      </w:r>
    </w:p>
    <w:p w14:paraId="16E4861A" w14:textId="77777777" w:rsidR="00807400" w:rsidRDefault="00A0695C">
      <w:pPr>
        <w:numPr>
          <w:ilvl w:val="0"/>
          <w:numId w:val="1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Ministers and public officers must not exceed the limits of their official powers.</w:t>
      </w:r>
    </w:p>
    <w:p w14:paraId="57F95754" w14:textId="77777777" w:rsidR="00807400" w:rsidRDefault="00A0695C">
      <w:pPr>
        <w:numPr>
          <w:ilvl w:val="0"/>
          <w:numId w:val="1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law must protect human rights.</w:t>
      </w:r>
    </w:p>
    <w:p w14:paraId="13982116" w14:textId="77777777" w:rsidR="00807400" w:rsidRDefault="00A0695C">
      <w:pPr>
        <w:numPr>
          <w:ilvl w:val="0"/>
          <w:numId w:val="1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Resources should enable the resolution of civil disputes.</w:t>
      </w:r>
    </w:p>
    <w:p w14:paraId="4E3A0E3A" w14:textId="77777777" w:rsidR="00807400" w:rsidRDefault="00A0695C">
      <w:pPr>
        <w:numPr>
          <w:ilvl w:val="0"/>
          <w:numId w:val="1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Court procedures should be fair.</w:t>
      </w:r>
    </w:p>
    <w:p w14:paraId="24409A9E" w14:textId="77777777" w:rsidR="00807400" w:rsidRDefault="00A0695C">
      <w:pPr>
        <w:numPr>
          <w:ilvl w:val="0"/>
          <w:numId w:val="1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state should comply with its obligations in international law as in national law.</w:t>
      </w:r>
    </w:p>
    <w:p w14:paraId="5D78672E" w14:textId="77777777" w:rsidR="00807400" w:rsidRDefault="00807400">
      <w:pPr>
        <w:spacing w:line="480" w:lineRule="auto"/>
        <w:ind w:left="720"/>
        <w:rPr>
          <w:rFonts w:ascii="Times New Roman" w:eastAsia="Times New Roman" w:hAnsi="Times New Roman" w:cs="Times New Roman"/>
          <w:sz w:val="24"/>
          <w:szCs w:val="24"/>
        </w:rPr>
      </w:pPr>
    </w:p>
    <w:p w14:paraId="6F1B29FF"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indicates that the apparently simple idea of the rule of law unpacks into a complex set of criteria to be considered. Lesson 3 clearly addresses several of these criteria – it clarifies how the law is applied in practice in cases of extremism and terrorism (criteria 2), and gives students an opportunity to discuss what might constitute a ‘fair’ judgement (in relation to </w:t>
      </w:r>
      <w:r>
        <w:rPr>
          <w:rFonts w:ascii="Times New Roman" w:eastAsia="Times New Roman" w:hAnsi="Times New Roman" w:cs="Times New Roman"/>
          <w:sz w:val="24"/>
          <w:szCs w:val="24"/>
        </w:rPr>
        <w:lastRenderedPageBreak/>
        <w:t>criteria 7). Lesson 2 starts to address criteria 8 by considering how international law might limit a state’s ability to intervene in an overseas conflict. Lesson 1 starts to consider how the law might codify and enact human rights principles (criteria 5). Once one has started to engage with this substantive knowledge, it is easy to see why the concept needs to be re-visited over time to build up the various elements that will constitute a fuller understanding of the rule of law as a principle of democracy.</w:t>
      </w:r>
    </w:p>
    <w:p w14:paraId="0027171F" w14:textId="77777777" w:rsidR="00807400" w:rsidRDefault="00A0695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lesson 3 we can also see how the teacher plans to build this understanding within the lesson by introducing knowledge with clear teacher input (a combination of written resources and teacher explanation) followed up with an activity that employs this information immediately to think about the practical implications (see Box 11.4).</w:t>
      </w:r>
    </w:p>
    <w:p w14:paraId="76AEC0EC" w14:textId="77777777" w:rsidR="00807400" w:rsidRDefault="00807400">
      <w:pPr>
        <w:spacing w:line="480" w:lineRule="auto"/>
        <w:ind w:firstLine="720"/>
        <w:rPr>
          <w:rFonts w:ascii="Times New Roman" w:eastAsia="Times New Roman" w:hAnsi="Times New Roman" w:cs="Times New Roman"/>
          <w:sz w:val="24"/>
          <w:szCs w:val="24"/>
        </w:rPr>
      </w:pPr>
    </w:p>
    <w:p w14:paraId="292C1493"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Box 11.4: Providing and using knowledge</w:t>
      </w:r>
    </w:p>
    <w:tbl>
      <w:tblPr>
        <w:tblStyle w:val="TableGrid"/>
        <w:tblW w:w="9016" w:type="dxa"/>
        <w:tblLook w:val="04A0" w:firstRow="1" w:lastRow="0" w:firstColumn="1" w:lastColumn="0" w:noHBand="0" w:noVBand="1"/>
      </w:tblPr>
      <w:tblGrid>
        <w:gridCol w:w="2689"/>
        <w:gridCol w:w="425"/>
        <w:gridCol w:w="2835"/>
        <w:gridCol w:w="425"/>
        <w:gridCol w:w="2642"/>
      </w:tblGrid>
      <w:tr w:rsidR="00FB5B7A" w14:paraId="3819192E" w14:textId="77777777" w:rsidTr="00FB5B7A">
        <w:tc>
          <w:tcPr>
            <w:tcW w:w="2689" w:type="dxa"/>
            <w:shd w:val="clear" w:color="auto" w:fill="E8E8E8" w:themeFill="background2"/>
          </w:tcPr>
          <w:p w14:paraId="716DEA24" w14:textId="77777777" w:rsidR="00FB5B7A" w:rsidRDefault="00FB5B7A" w:rsidP="00FB5B7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Information phase</w:t>
            </w:r>
          </w:p>
        </w:tc>
        <w:tc>
          <w:tcPr>
            <w:tcW w:w="425" w:type="dxa"/>
            <w:tcBorders>
              <w:top w:val="nil"/>
              <w:bottom w:val="nil"/>
            </w:tcBorders>
          </w:tcPr>
          <w:p w14:paraId="20BC524E" w14:textId="77777777" w:rsidR="00FB5B7A" w:rsidRDefault="00FB5B7A" w:rsidP="00FB5B7A">
            <w:pPr>
              <w:spacing w:line="480" w:lineRule="auto"/>
              <w:rPr>
                <w:rFonts w:ascii="Times New Roman" w:eastAsia="Times New Roman" w:hAnsi="Times New Roman" w:cs="Times New Roman"/>
                <w:sz w:val="24"/>
                <w:szCs w:val="24"/>
              </w:rPr>
            </w:pPr>
          </w:p>
        </w:tc>
        <w:tc>
          <w:tcPr>
            <w:tcW w:w="2835" w:type="dxa"/>
            <w:shd w:val="clear" w:color="auto" w:fill="E8E8E8" w:themeFill="background2"/>
          </w:tcPr>
          <w:p w14:paraId="73AE2B1D" w14:textId="77777777" w:rsidR="00FB5B7A" w:rsidRDefault="00FB5B7A" w:rsidP="00FB5B7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 Using the information</w:t>
            </w:r>
          </w:p>
        </w:tc>
        <w:tc>
          <w:tcPr>
            <w:tcW w:w="425" w:type="dxa"/>
            <w:tcBorders>
              <w:top w:val="nil"/>
              <w:bottom w:val="nil"/>
            </w:tcBorders>
          </w:tcPr>
          <w:p w14:paraId="7BB8DAE3" w14:textId="77777777" w:rsidR="00FB5B7A" w:rsidRDefault="00FB5B7A" w:rsidP="00FB5B7A">
            <w:pPr>
              <w:spacing w:line="480" w:lineRule="auto"/>
              <w:rPr>
                <w:rFonts w:ascii="Times New Roman" w:eastAsia="Times New Roman" w:hAnsi="Times New Roman" w:cs="Times New Roman"/>
                <w:sz w:val="24"/>
                <w:szCs w:val="24"/>
              </w:rPr>
            </w:pPr>
          </w:p>
        </w:tc>
        <w:tc>
          <w:tcPr>
            <w:tcW w:w="2642" w:type="dxa"/>
            <w:shd w:val="clear" w:color="auto" w:fill="E8E8E8" w:themeFill="background2"/>
          </w:tcPr>
          <w:p w14:paraId="7DB23145" w14:textId="77777777" w:rsidR="00FB5B7A" w:rsidRDefault="00FB5B7A" w:rsidP="00FB5B7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 Evaluation phase</w:t>
            </w:r>
          </w:p>
        </w:tc>
      </w:tr>
      <w:tr w:rsidR="00FB5B7A" w14:paraId="2FA295C9" w14:textId="77777777" w:rsidTr="00FB5B7A">
        <w:tc>
          <w:tcPr>
            <w:tcW w:w="2689" w:type="dxa"/>
          </w:tcPr>
          <w:p w14:paraId="6D1E9228" w14:textId="738DEA83" w:rsidR="00FB5B7A" w:rsidRPr="00FB5B7A" w:rsidRDefault="00FB5B7A" w:rsidP="00FB5B7A">
            <w:pPr>
              <w:spacing w:line="480" w:lineRule="auto"/>
              <w:rPr>
                <w:rFonts w:ascii="Times New Roman" w:eastAsia="Times New Roman" w:hAnsi="Times New Roman" w:cs="Times New Roman"/>
                <w:sz w:val="24"/>
                <w:szCs w:val="24"/>
              </w:rPr>
            </w:pPr>
            <w:r w:rsidRPr="00FB5B7A">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FB5B7A">
              <w:rPr>
                <w:rFonts w:ascii="Times New Roman" w:eastAsia="Times New Roman" w:hAnsi="Times New Roman" w:cs="Times New Roman"/>
                <w:sz w:val="24"/>
                <w:szCs w:val="24"/>
              </w:rPr>
              <w:t xml:space="preserve">Terrorism legislation </w:t>
            </w:r>
          </w:p>
          <w:p w14:paraId="48DA02E4" w14:textId="64A74E14" w:rsidR="00FB5B7A" w:rsidRPr="00FB5B7A" w:rsidRDefault="00FB5B7A" w:rsidP="00FB5B7A">
            <w:pPr>
              <w:spacing w:line="480" w:lineRule="auto"/>
              <w:rPr>
                <w:rFonts w:ascii="Times New Roman" w:eastAsia="Times New Roman" w:hAnsi="Times New Roman" w:cs="Times New Roman"/>
                <w:sz w:val="24"/>
                <w:szCs w:val="24"/>
              </w:rPr>
            </w:pPr>
            <w:r w:rsidRPr="00FB5B7A">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FB5B7A">
              <w:rPr>
                <w:rFonts w:ascii="Times New Roman" w:eastAsia="Times New Roman" w:hAnsi="Times New Roman" w:cs="Times New Roman"/>
                <w:sz w:val="24"/>
                <w:szCs w:val="24"/>
              </w:rPr>
              <w:t>CPS definition</w:t>
            </w:r>
          </w:p>
          <w:p w14:paraId="6EADB021" w14:textId="0C256081" w:rsidR="00FB5B7A" w:rsidRPr="00FB5B7A" w:rsidRDefault="00FB5B7A" w:rsidP="00FB5B7A">
            <w:pPr>
              <w:spacing w:line="480" w:lineRule="auto"/>
              <w:rPr>
                <w:rFonts w:ascii="Times New Roman" w:eastAsia="Times New Roman" w:hAnsi="Times New Roman" w:cs="Times New Roman"/>
                <w:sz w:val="24"/>
                <w:szCs w:val="24"/>
              </w:rPr>
            </w:pPr>
            <w:r w:rsidRPr="00FB5B7A">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FB5B7A">
              <w:rPr>
                <w:rFonts w:ascii="Times New Roman" w:eastAsia="Times New Roman" w:hAnsi="Times New Roman" w:cs="Times New Roman"/>
                <w:sz w:val="24"/>
                <w:szCs w:val="24"/>
              </w:rPr>
              <w:t>Sentencing Council</w:t>
            </w:r>
          </w:p>
          <w:p w14:paraId="7BED9251" w14:textId="77777777" w:rsidR="00FB5B7A" w:rsidRDefault="00FB5B7A" w:rsidP="00FB5B7A">
            <w:pPr>
              <w:spacing w:line="480" w:lineRule="auto"/>
              <w:rPr>
                <w:rFonts w:ascii="Times New Roman" w:eastAsia="Times New Roman" w:hAnsi="Times New Roman" w:cs="Times New Roman"/>
                <w:sz w:val="24"/>
                <w:szCs w:val="24"/>
              </w:rPr>
            </w:pPr>
            <w:r w:rsidRPr="00FB5B7A">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Pr="00FB5B7A">
              <w:rPr>
                <w:rFonts w:ascii="Times New Roman" w:eastAsia="Times New Roman" w:hAnsi="Times New Roman" w:cs="Times New Roman"/>
                <w:sz w:val="24"/>
                <w:szCs w:val="24"/>
              </w:rPr>
              <w:t>Sentencing guidance</w:t>
            </w:r>
          </w:p>
          <w:p w14:paraId="1AAD5E1A" w14:textId="35A29951" w:rsidR="00FB5B7A" w:rsidRDefault="00FB5B7A" w:rsidP="00FB5B7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Pr="00FB5B7A">
              <w:rPr>
                <w:rFonts w:ascii="Times New Roman" w:eastAsia="Times New Roman" w:hAnsi="Times New Roman" w:cs="Times New Roman"/>
                <w:sz w:val="24"/>
                <w:szCs w:val="24"/>
              </w:rPr>
              <w:t xml:space="preserve">Ethical views of </w:t>
            </w:r>
            <w:r>
              <w:rPr>
                <w:rFonts w:ascii="Times New Roman" w:eastAsia="Times New Roman" w:hAnsi="Times New Roman" w:cs="Times New Roman"/>
                <w:sz w:val="24"/>
                <w:szCs w:val="24"/>
              </w:rPr>
              <w:t>p</w:t>
            </w:r>
            <w:r w:rsidRPr="00FB5B7A">
              <w:rPr>
                <w:rFonts w:ascii="Times New Roman" w:eastAsia="Times New Roman" w:hAnsi="Times New Roman" w:cs="Times New Roman"/>
                <w:sz w:val="24"/>
                <w:szCs w:val="24"/>
              </w:rPr>
              <w:t>unishment</w:t>
            </w:r>
          </w:p>
        </w:tc>
        <w:tc>
          <w:tcPr>
            <w:tcW w:w="425" w:type="dxa"/>
            <w:tcBorders>
              <w:top w:val="nil"/>
              <w:bottom w:val="nil"/>
            </w:tcBorders>
          </w:tcPr>
          <w:p w14:paraId="07FFCF09" w14:textId="77777777" w:rsidR="00FB5B7A" w:rsidRDefault="00FB5B7A" w:rsidP="00FB5B7A">
            <w:pPr>
              <w:spacing w:line="480" w:lineRule="auto"/>
              <w:rPr>
                <w:rFonts w:ascii="Times New Roman" w:eastAsia="Times New Roman" w:hAnsi="Times New Roman" w:cs="Times New Roman"/>
                <w:sz w:val="24"/>
                <w:szCs w:val="24"/>
              </w:rPr>
            </w:pPr>
          </w:p>
        </w:tc>
        <w:tc>
          <w:tcPr>
            <w:tcW w:w="2835" w:type="dxa"/>
          </w:tcPr>
          <w:p w14:paraId="7BB63999" w14:textId="77777777" w:rsidR="00FB5B7A" w:rsidRDefault="00FB5B7A" w:rsidP="00FB5B7A">
            <w:pPr>
              <w:numPr>
                <w:ilvl w:val="0"/>
                <w:numId w:val="1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Critique one judgement</w:t>
            </w:r>
          </w:p>
          <w:p w14:paraId="18CC9EAA" w14:textId="77777777" w:rsidR="00FB5B7A" w:rsidRDefault="00FB5B7A" w:rsidP="00FB5B7A">
            <w:pPr>
              <w:numPr>
                <w:ilvl w:val="0"/>
                <w:numId w:val="1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Apply criteria to two new cases</w:t>
            </w:r>
          </w:p>
          <w:p w14:paraId="7CEFB1CD" w14:textId="56DDF562" w:rsidR="00FB5B7A" w:rsidRDefault="00FB5B7A" w:rsidP="00FB5B7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Justify your decision</w:t>
            </w:r>
          </w:p>
        </w:tc>
        <w:tc>
          <w:tcPr>
            <w:tcW w:w="425" w:type="dxa"/>
            <w:tcBorders>
              <w:top w:val="nil"/>
              <w:bottom w:val="nil"/>
            </w:tcBorders>
          </w:tcPr>
          <w:p w14:paraId="128501B5" w14:textId="77777777" w:rsidR="00FB5B7A" w:rsidRDefault="00FB5B7A" w:rsidP="00FB5B7A">
            <w:pPr>
              <w:spacing w:line="480" w:lineRule="auto"/>
              <w:rPr>
                <w:rFonts w:ascii="Times New Roman" w:eastAsia="Times New Roman" w:hAnsi="Times New Roman" w:cs="Times New Roman"/>
                <w:sz w:val="24"/>
                <w:szCs w:val="24"/>
              </w:rPr>
            </w:pPr>
          </w:p>
        </w:tc>
        <w:tc>
          <w:tcPr>
            <w:tcW w:w="2642" w:type="dxa"/>
          </w:tcPr>
          <w:p w14:paraId="139F3687" w14:textId="77777777" w:rsidR="00FB5B7A" w:rsidRDefault="00FB5B7A" w:rsidP="00FB5B7A">
            <w:pPr>
              <w:numPr>
                <w:ilvl w:val="0"/>
                <w:numId w:val="16"/>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Compare class judgements</w:t>
            </w:r>
          </w:p>
          <w:p w14:paraId="5DFB8E3E" w14:textId="77777777" w:rsidR="00FB5B7A" w:rsidRDefault="00FB5B7A" w:rsidP="00FB5B7A">
            <w:pPr>
              <w:numPr>
                <w:ilvl w:val="0"/>
                <w:numId w:val="16"/>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 differences</w:t>
            </w:r>
          </w:p>
          <w:p w14:paraId="168CB904" w14:textId="0A3C5B14" w:rsidR="00FB5B7A" w:rsidRDefault="00FB5B7A" w:rsidP="00FB5B7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Test arguments against criteria </w:t>
            </w:r>
          </w:p>
        </w:tc>
      </w:tr>
    </w:tbl>
    <w:p w14:paraId="20C7C923" w14:textId="77777777" w:rsidR="00FB5B7A" w:rsidRDefault="00FB5B7A">
      <w:pPr>
        <w:spacing w:line="480" w:lineRule="auto"/>
        <w:rPr>
          <w:rFonts w:ascii="Times New Roman" w:eastAsia="Times New Roman" w:hAnsi="Times New Roman" w:cs="Times New Roman"/>
          <w:sz w:val="24"/>
          <w:szCs w:val="24"/>
        </w:rPr>
      </w:pPr>
    </w:p>
    <w:p w14:paraId="758F36A6"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final outcome of the lesson is more than the acquisition of the knowledge provided at the outset (A) and is more concerned with the students’ ability to understand how the criteria might be applied in practice in order to generate some insight into the process of applying the law fairly. This makes a contribution to understanding how the justice system works in practice, and to understanding what it means to commit to the rule of law. </w:t>
      </w:r>
    </w:p>
    <w:p w14:paraId="123084E1" w14:textId="77777777" w:rsidR="00807400" w:rsidRDefault="00807400">
      <w:pPr>
        <w:spacing w:line="480" w:lineRule="auto"/>
        <w:rPr>
          <w:rFonts w:ascii="Times New Roman" w:eastAsia="Times New Roman" w:hAnsi="Times New Roman" w:cs="Times New Roman"/>
          <w:sz w:val="24"/>
          <w:szCs w:val="24"/>
        </w:rPr>
      </w:pPr>
    </w:p>
    <w:p w14:paraId="6A6667E7" w14:textId="77777777" w:rsidR="00807400" w:rsidRDefault="00A0695C">
      <w:pPr>
        <w:spacing w:line="48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(iv) Epistemic development </w:t>
      </w:r>
    </w:p>
    <w:p w14:paraId="75AD03A6"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her book </w:t>
      </w:r>
      <w:r>
        <w:rPr>
          <w:rFonts w:ascii="Times New Roman" w:eastAsia="Times New Roman" w:hAnsi="Times New Roman" w:cs="Times New Roman"/>
          <w:i/>
          <w:iCs/>
          <w:sz w:val="24"/>
          <w:szCs w:val="24"/>
        </w:rPr>
        <w:t>Educating Against Extremism</w:t>
      </w:r>
      <w:r>
        <w:rPr>
          <w:rFonts w:ascii="Times New Roman" w:eastAsia="Times New Roman" w:hAnsi="Times New Roman" w:cs="Times New Roman"/>
          <w:sz w:val="24"/>
          <w:szCs w:val="24"/>
        </w:rPr>
        <w:t xml:space="preserve"> Davies (2008) argues that it is important for schools to prepare students for ambiguity. This means acknowledging that a better understanding of some citizenship issues does not equate to the possession of right or wrong information, rather it refers to a more sophisticated understanding of a situation or phenomenon. In the context of thinking about the contribution of education to combatting terrorism and extremism, Davies argues that it is vital to encourage students to move away from the idea that there is a single simple truth, and to understand that people have different perspectives, different understandings, and different values, and therefore citizens with the best of intentions might explain the same situation differently. The educational challenge is to help students move to this more pluralistic view, and to question simplistic one-dimensional explanations.</w:t>
      </w:r>
    </w:p>
    <w:p w14:paraId="0971E561" w14:textId="77777777" w:rsidR="00807400" w:rsidRDefault="00A0695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an epistemological matter and involves developing a more sophisticated understanding of how the social world works and how we construct accounts of it. This requires students to move away from a simplistic model of knowledge and to engage with the fact that others see the world differently, ask particular questions of it, and construct varying accounts. But it also requires them to understand how we might seek to evaluate those accounts and discriminate between plausible interpretations and others which may be less worthy of our time and attention. </w:t>
      </w:r>
    </w:p>
    <w:p w14:paraId="71796744" w14:textId="77777777" w:rsidR="00807400" w:rsidRDefault="00A0695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these lessons we can see how lessons practically build this understanding, by considering how ethical principles or values influence people in the social world, and the difficulties and compromises required to implement them in specific situations. This represents a profound shift from ‘promoting’ a set of values to understanding what it means </w:t>
      </w:r>
      <w:r>
        <w:rPr>
          <w:rFonts w:ascii="Times New Roman" w:eastAsia="Times New Roman" w:hAnsi="Times New Roman" w:cs="Times New Roman"/>
          <w:sz w:val="24"/>
          <w:szCs w:val="24"/>
        </w:rPr>
        <w:lastRenderedPageBreak/>
        <w:t xml:space="preserve">to support them, and what they might look like in specific situations, and why some people who genuinely uphold the same values might decide to enact them in different ways. </w:t>
      </w:r>
    </w:p>
    <w:p w14:paraId="597BA246" w14:textId="77777777" w:rsidR="00807400" w:rsidRDefault="00A0695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lesson 1 the students are introduced to the FBVs as a sub-set of a wider range of defensible values and asked to problematise them immediately by thinking about which ones seem most important and what the practical implications might be. In lesson 2 students are asked to consider what action might be right, but also to think pragmatically about what the most appropriate course of action in Syria might be, and why different people have genuinely different views. In lesson 3, students are introduced to a set of criteria which constitute the framework for applying the law, but also immediately experience how much room there is for people to come to their own interpretation of those rules to justify different recommendations. Through discussing these issues, the students are encouraged to understand that there are legitimate diverse views, but also to consider the justifiability of those views. This is how these lessons aim to contribute to the development of a multiplist and evaluativist epistemology. Such a worldview is essential to understanding extremism (and the policy responses to it) and preparing students for an informed but incomplete and inconclusive understanding of these political phenomena.</w:t>
      </w:r>
    </w:p>
    <w:p w14:paraId="770D39F5" w14:textId="77777777" w:rsidR="00807400" w:rsidRDefault="00807400">
      <w:pPr>
        <w:spacing w:line="480" w:lineRule="auto"/>
        <w:rPr>
          <w:rFonts w:ascii="Times New Roman" w:eastAsia="Times New Roman" w:hAnsi="Times New Roman" w:cs="Times New Roman"/>
          <w:sz w:val="24"/>
          <w:szCs w:val="24"/>
        </w:rPr>
      </w:pPr>
    </w:p>
    <w:p w14:paraId="517566BC" w14:textId="77777777" w:rsidR="00807400" w:rsidRDefault="00A0695C">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Conclusion</w:t>
      </w:r>
    </w:p>
    <w:p w14:paraId="1FF32885" w14:textId="77777777" w:rsidR="00807400" w:rsidRDefault="00A069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chapter we have illustrated how Kirsty drew on various forms of teacher knowledge to create these learning opportunities. The sequencing of knowledge and the epistemic commitment are important for the development of a student's understanding. But, from the teacher’s perspective, it is equally important that Kirsty was able to interpret the FBV policy in such a way that it opened up a curriculum space for these lessons, and that she was able to engage with the FBVs as political concepts to be understood and used, rather than simply as values to be promoted. </w:t>
      </w:r>
    </w:p>
    <w:p w14:paraId="4E663136" w14:textId="77777777" w:rsidR="00807400" w:rsidRDefault="00807400">
      <w:pPr>
        <w:spacing w:line="480" w:lineRule="auto"/>
        <w:rPr>
          <w:rFonts w:ascii="Times New Roman" w:eastAsia="Times New Roman" w:hAnsi="Times New Roman" w:cs="Times New Roman"/>
          <w:sz w:val="24"/>
          <w:szCs w:val="24"/>
        </w:rPr>
      </w:pPr>
    </w:p>
    <w:p w14:paraId="417AB59D" w14:textId="77777777" w:rsidR="00807400" w:rsidRDefault="00A0695C">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References</w:t>
      </w:r>
    </w:p>
    <w:p w14:paraId="1B962F70" w14:textId="77777777" w:rsidR="00807400" w:rsidRDefault="00A0695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Banham, D. (2000) </w:t>
      </w:r>
      <w:r w:rsidRPr="00FB5B7A">
        <w:rPr>
          <w:rFonts w:ascii="Times New Roman" w:eastAsia="Times New Roman" w:hAnsi="Times New Roman" w:cs="Times New Roman"/>
          <w:sz w:val="24"/>
          <w:szCs w:val="24"/>
        </w:rPr>
        <w:t>The Return of King John: Using depth to strengthen overview in the teaching of political change.</w:t>
      </w:r>
      <w:r>
        <w:rPr>
          <w:rFonts w:ascii="Times New Roman" w:eastAsia="Times New Roman" w:hAnsi="Times New Roman" w:cs="Times New Roman"/>
          <w:sz w:val="24"/>
          <w:szCs w:val="24"/>
        </w:rPr>
        <w:t xml:space="preserve"> </w:t>
      </w:r>
      <w:r w:rsidRPr="00FB5B7A">
        <w:rPr>
          <w:rFonts w:ascii="Times New Roman" w:eastAsia="Times New Roman" w:hAnsi="Times New Roman" w:cs="Times New Roman"/>
          <w:i/>
          <w:iCs/>
          <w:sz w:val="24"/>
          <w:szCs w:val="24"/>
        </w:rPr>
        <w:t>Teaching History</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99: 22-31.</w:t>
      </w:r>
    </w:p>
    <w:p w14:paraId="6BA6A8A3" w14:textId="77777777" w:rsidR="00807400" w:rsidRDefault="00A0695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Barnes, M. and Prior, D. (Eds.) (2009) </w:t>
      </w:r>
      <w:r>
        <w:rPr>
          <w:rFonts w:ascii="Times New Roman" w:eastAsia="Times New Roman" w:hAnsi="Times New Roman" w:cs="Times New Roman"/>
          <w:i/>
          <w:iCs/>
          <w:sz w:val="24"/>
          <w:szCs w:val="24"/>
        </w:rPr>
        <w:t xml:space="preserve">Subversive Citizens: Power, agency and resistance in public services. </w:t>
      </w:r>
      <w:r>
        <w:rPr>
          <w:rFonts w:ascii="Times New Roman" w:eastAsia="Times New Roman" w:hAnsi="Times New Roman" w:cs="Times New Roman"/>
          <w:sz w:val="24"/>
          <w:szCs w:val="24"/>
        </w:rPr>
        <w:t>Bristol: Policy Press.</w:t>
      </w:r>
    </w:p>
    <w:p w14:paraId="73A063F5" w14:textId="77777777" w:rsidR="00807400" w:rsidRDefault="00A0695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Bingham, T. (2010) </w:t>
      </w:r>
      <w:r>
        <w:rPr>
          <w:rFonts w:ascii="Times New Roman" w:eastAsia="Times New Roman" w:hAnsi="Times New Roman" w:cs="Times New Roman"/>
          <w:i/>
          <w:iCs/>
          <w:sz w:val="24"/>
          <w:szCs w:val="24"/>
        </w:rPr>
        <w:t>The Rule of Law.</w:t>
      </w:r>
      <w:r>
        <w:rPr>
          <w:rFonts w:ascii="Times New Roman" w:eastAsia="Times New Roman" w:hAnsi="Times New Roman" w:cs="Times New Roman"/>
          <w:sz w:val="24"/>
          <w:szCs w:val="24"/>
        </w:rPr>
        <w:t xml:space="preserve"> London: Penguin.</w:t>
      </w:r>
    </w:p>
    <w:p w14:paraId="6B2799D3" w14:textId="77777777" w:rsidR="00807400" w:rsidRDefault="00A0695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Busher, J. and Jerome, L. (Eds.) (2020) </w:t>
      </w:r>
      <w:r>
        <w:rPr>
          <w:rFonts w:ascii="Times New Roman" w:eastAsia="Times New Roman" w:hAnsi="Times New Roman" w:cs="Times New Roman"/>
          <w:i/>
          <w:iCs/>
          <w:sz w:val="24"/>
          <w:szCs w:val="24"/>
        </w:rPr>
        <w:t>The Prevent Duty in Education: Impact, Enactment and Implications,</w:t>
      </w:r>
      <w:r>
        <w:rPr>
          <w:rFonts w:ascii="Times New Roman" w:eastAsia="Times New Roman" w:hAnsi="Times New Roman" w:cs="Times New Roman"/>
          <w:sz w:val="24"/>
          <w:szCs w:val="24"/>
        </w:rPr>
        <w:t xml:space="preserve"> Cham, Switzerland: Palgrave Macmillan.</w:t>
      </w:r>
    </w:p>
    <w:p w14:paraId="69451C2D" w14:textId="77777777" w:rsidR="00807400" w:rsidRDefault="00A0695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Davies, L. (2008) </w:t>
      </w:r>
      <w:r>
        <w:rPr>
          <w:rFonts w:ascii="Times New Roman" w:eastAsia="Times New Roman" w:hAnsi="Times New Roman" w:cs="Times New Roman"/>
          <w:i/>
          <w:iCs/>
          <w:sz w:val="24"/>
          <w:szCs w:val="24"/>
        </w:rPr>
        <w:t>Educating against Extremism</w:t>
      </w:r>
      <w:r>
        <w:rPr>
          <w:rFonts w:ascii="Times New Roman" w:eastAsia="Times New Roman" w:hAnsi="Times New Roman" w:cs="Times New Roman"/>
          <w:sz w:val="24"/>
          <w:szCs w:val="24"/>
        </w:rPr>
        <w:t>. Stoke on Trent: Trentham Books.</w:t>
      </w:r>
    </w:p>
    <w:p w14:paraId="1B56D32D" w14:textId="77777777" w:rsidR="00807400" w:rsidRDefault="00A0695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Department for Education (DfE) (2011) </w:t>
      </w:r>
      <w:r>
        <w:rPr>
          <w:rFonts w:ascii="Times New Roman" w:eastAsia="Times New Roman" w:hAnsi="Times New Roman" w:cs="Times New Roman"/>
          <w:i/>
          <w:iCs/>
          <w:sz w:val="24"/>
          <w:szCs w:val="24"/>
        </w:rPr>
        <w:t>Teachers’ Standards: Guidance for school leaders, school staff and governing bodies</w:t>
      </w:r>
      <w:r>
        <w:rPr>
          <w:rFonts w:ascii="Times New Roman" w:eastAsia="Times New Roman" w:hAnsi="Times New Roman" w:cs="Times New Roman"/>
          <w:sz w:val="24"/>
          <w:szCs w:val="24"/>
        </w:rPr>
        <w:t xml:space="preserve"> (DFE-00066-2011). London: Department for Education.</w:t>
      </w:r>
    </w:p>
    <w:p w14:paraId="6CF01D3E" w14:textId="77777777" w:rsidR="00807400" w:rsidRDefault="00A0695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Department for Education (DfE) (2014) </w:t>
      </w:r>
      <w:r>
        <w:rPr>
          <w:rFonts w:ascii="Times New Roman" w:eastAsia="Times New Roman" w:hAnsi="Times New Roman" w:cs="Times New Roman"/>
          <w:i/>
          <w:iCs/>
          <w:sz w:val="24"/>
          <w:szCs w:val="24"/>
        </w:rPr>
        <w:t xml:space="preserve">Promoting fundamental British values as part of SMSC in schools. </w:t>
      </w:r>
      <w:r>
        <w:rPr>
          <w:rFonts w:ascii="Times New Roman" w:eastAsia="Times New Roman" w:hAnsi="Times New Roman" w:cs="Times New Roman"/>
          <w:sz w:val="24"/>
          <w:szCs w:val="24"/>
        </w:rPr>
        <w:t>London: Department for Education.</w:t>
      </w:r>
    </w:p>
    <w:p w14:paraId="529EC0B1" w14:textId="7AFD8A68" w:rsidR="00807400" w:rsidRDefault="00A0695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Elton-Chalcraft, S., Lander, V., Revell, L., Warner, D. and Whitworth, L. (2017) </w:t>
      </w:r>
      <w:r w:rsidRPr="00FB5B7A">
        <w:rPr>
          <w:rFonts w:ascii="Times New Roman" w:eastAsia="Times New Roman" w:hAnsi="Times New Roman" w:cs="Times New Roman"/>
          <w:sz w:val="24"/>
          <w:szCs w:val="24"/>
        </w:rPr>
        <w:t>To promote, or not to promote fundamental British values? Teachers’ standards, diversity and teacher education.</w:t>
      </w:r>
      <w:r>
        <w:rPr>
          <w:rFonts w:ascii="Times New Roman" w:eastAsia="Times New Roman" w:hAnsi="Times New Roman" w:cs="Times New Roman"/>
          <w:sz w:val="24"/>
          <w:szCs w:val="24"/>
        </w:rPr>
        <w:t xml:space="preserve"> </w:t>
      </w:r>
      <w:r w:rsidRPr="00FB5B7A">
        <w:rPr>
          <w:rFonts w:ascii="Times New Roman" w:eastAsia="Times New Roman" w:hAnsi="Times New Roman" w:cs="Times New Roman"/>
          <w:i/>
          <w:iCs/>
          <w:sz w:val="24"/>
          <w:szCs w:val="24"/>
        </w:rPr>
        <w:t>British Educational Research Journal</w:t>
      </w:r>
      <w:r>
        <w:rPr>
          <w:rFonts w:ascii="Times New Roman" w:eastAsia="Times New Roman" w:hAnsi="Times New Roman" w:cs="Times New Roman"/>
          <w:sz w:val="24"/>
          <w:szCs w:val="24"/>
        </w:rPr>
        <w:t>, 43(1)</w:t>
      </w:r>
      <w:r w:rsidR="00FB5B7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29-48. </w:t>
      </w:r>
    </w:p>
    <w:p w14:paraId="2F53392B" w14:textId="4477AB74" w:rsidR="00807400" w:rsidRDefault="00A0695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Elwick, A. and Jerome, L. (2019) </w:t>
      </w:r>
      <w:r w:rsidRPr="00FB5B7A">
        <w:rPr>
          <w:rFonts w:ascii="Times New Roman" w:eastAsia="Times New Roman" w:hAnsi="Times New Roman" w:cs="Times New Roman"/>
          <w:sz w:val="24"/>
          <w:szCs w:val="24"/>
        </w:rPr>
        <w:t>Balancing securitisation and education in schools: teachers’ agency in implementing the Prevent duty.</w:t>
      </w:r>
      <w:r>
        <w:rPr>
          <w:rFonts w:ascii="Times New Roman" w:eastAsia="Times New Roman" w:hAnsi="Times New Roman" w:cs="Times New Roman"/>
          <w:sz w:val="24"/>
          <w:szCs w:val="24"/>
        </w:rPr>
        <w:t xml:space="preserve"> </w:t>
      </w:r>
      <w:r w:rsidRPr="00FB5B7A">
        <w:rPr>
          <w:rFonts w:ascii="Times New Roman" w:eastAsia="Times New Roman" w:hAnsi="Times New Roman" w:cs="Times New Roman"/>
          <w:i/>
          <w:iCs/>
          <w:sz w:val="24"/>
          <w:szCs w:val="24"/>
        </w:rPr>
        <w:t>Journal of Beliefs &amp; Values</w:t>
      </w:r>
      <w:r>
        <w:rPr>
          <w:rFonts w:ascii="Times New Roman" w:eastAsia="Times New Roman" w:hAnsi="Times New Roman" w:cs="Times New Roman"/>
          <w:sz w:val="24"/>
          <w:szCs w:val="24"/>
        </w:rPr>
        <w:t>, 40</w:t>
      </w:r>
      <w:r w:rsidR="00FB5B7A">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r w:rsidR="00FB5B7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338-353.</w:t>
      </w:r>
    </w:p>
    <w:p w14:paraId="26C4EB8F" w14:textId="77777777" w:rsidR="00807400" w:rsidRDefault="00A0695C">
      <w:pPr>
        <w:spacing w:line="480" w:lineRule="auto"/>
        <w:ind w:left="720" w:hanging="720"/>
        <w:rPr>
          <w:rFonts w:ascii="Times New Roman" w:eastAsia="Times New Roman" w:hAnsi="Times New Roman" w:cs="Times New Roman"/>
          <w:sz w:val="24"/>
          <w:szCs w:val="24"/>
        </w:rPr>
      </w:pPr>
      <w:bookmarkStart w:id="2" w:name="_heading=h.ogupb7ontt58" w:colFirst="0" w:colLast="0"/>
      <w:bookmarkEnd w:id="2"/>
      <w:r>
        <w:rPr>
          <w:rFonts w:ascii="Times New Roman" w:eastAsia="Times New Roman" w:hAnsi="Times New Roman" w:cs="Times New Roman"/>
          <w:sz w:val="24"/>
          <w:szCs w:val="24"/>
        </w:rPr>
        <w:t xml:space="preserve">Faure Walker, R. (2021) </w:t>
      </w:r>
      <w:r>
        <w:rPr>
          <w:rFonts w:ascii="Times New Roman" w:eastAsia="Times New Roman" w:hAnsi="Times New Roman" w:cs="Times New Roman"/>
          <w:i/>
          <w:iCs/>
          <w:sz w:val="24"/>
          <w:szCs w:val="24"/>
        </w:rPr>
        <w:t xml:space="preserve">Emergence of 'extremism': exposing the violent discourse and language of 'radicalisation' </w:t>
      </w:r>
      <w:r>
        <w:rPr>
          <w:rFonts w:ascii="Times New Roman" w:eastAsia="Times New Roman" w:hAnsi="Times New Roman" w:cs="Times New Roman"/>
          <w:sz w:val="24"/>
          <w:szCs w:val="24"/>
        </w:rPr>
        <w:t>London, England: Zed Books.</w:t>
      </w:r>
    </w:p>
    <w:p w14:paraId="6B8D849E" w14:textId="6E2352D2" w:rsidR="00807400" w:rsidRDefault="00A0695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Healy, M. (2018) </w:t>
      </w:r>
      <w:r w:rsidRPr="00FB5B7A">
        <w:rPr>
          <w:rFonts w:ascii="Times New Roman" w:eastAsia="Times New Roman" w:hAnsi="Times New Roman" w:cs="Times New Roman"/>
          <w:sz w:val="24"/>
          <w:szCs w:val="24"/>
        </w:rPr>
        <w:t>Belonging, Social Cohesion and Fundamental British Values</w:t>
      </w:r>
      <w:r>
        <w:rPr>
          <w:rFonts w:ascii="Times New Roman" w:eastAsia="Times New Roman" w:hAnsi="Times New Roman" w:cs="Times New Roman"/>
          <w:sz w:val="24"/>
          <w:szCs w:val="24"/>
        </w:rPr>
        <w:t xml:space="preserve">. </w:t>
      </w:r>
      <w:r w:rsidRPr="00FB5B7A">
        <w:rPr>
          <w:rFonts w:ascii="Times New Roman" w:eastAsia="Times New Roman" w:hAnsi="Times New Roman" w:cs="Times New Roman"/>
          <w:i/>
          <w:iCs/>
          <w:sz w:val="24"/>
          <w:szCs w:val="24"/>
        </w:rPr>
        <w:t>British Journal of Educational Studies</w:t>
      </w:r>
      <w:r>
        <w:rPr>
          <w:rFonts w:ascii="Times New Roman" w:eastAsia="Times New Roman" w:hAnsi="Times New Roman" w:cs="Times New Roman"/>
          <w:sz w:val="24"/>
          <w:szCs w:val="24"/>
        </w:rPr>
        <w:t xml:space="preserve">, </w:t>
      </w:r>
      <w:r w:rsidR="00FB5B7A">
        <w:rPr>
          <w:rFonts w:ascii="Times New Roman" w:eastAsia="Times New Roman" w:hAnsi="Times New Roman" w:cs="Times New Roman"/>
          <w:sz w:val="24"/>
          <w:szCs w:val="24"/>
        </w:rPr>
        <w:t>67(4): 423-438.</w:t>
      </w:r>
    </w:p>
    <w:p w14:paraId="2F25A007" w14:textId="77777777" w:rsidR="00807400" w:rsidRDefault="00A0695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Her Majesty's Government UK. (2011) </w:t>
      </w:r>
      <w:r>
        <w:rPr>
          <w:rFonts w:ascii="Times New Roman" w:eastAsia="Times New Roman" w:hAnsi="Times New Roman" w:cs="Times New Roman"/>
          <w:i/>
          <w:iCs/>
          <w:sz w:val="24"/>
          <w:szCs w:val="24"/>
        </w:rPr>
        <w:t>Prevent Strategy</w:t>
      </w:r>
      <w:r>
        <w:rPr>
          <w:rFonts w:ascii="Times New Roman" w:eastAsia="Times New Roman" w:hAnsi="Times New Roman" w:cs="Times New Roman"/>
          <w:sz w:val="24"/>
          <w:szCs w:val="24"/>
        </w:rPr>
        <w:t xml:space="preserve">. London: Home Office </w:t>
      </w:r>
    </w:p>
    <w:p w14:paraId="5179057B" w14:textId="77777777" w:rsidR="00807400" w:rsidRDefault="00A0695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 Majesty’s Government UK. (2015a) </w:t>
      </w:r>
      <w:r>
        <w:rPr>
          <w:rFonts w:ascii="Times New Roman" w:eastAsia="Times New Roman" w:hAnsi="Times New Roman" w:cs="Times New Roman"/>
          <w:i/>
          <w:iCs/>
          <w:sz w:val="24"/>
          <w:szCs w:val="24"/>
        </w:rPr>
        <w:t>Counter-Terrorism and Security Act 2015</w:t>
      </w:r>
      <w:r>
        <w:rPr>
          <w:rFonts w:ascii="Times New Roman" w:eastAsia="Times New Roman" w:hAnsi="Times New Roman" w:cs="Times New Roman"/>
          <w:sz w:val="24"/>
          <w:szCs w:val="24"/>
        </w:rPr>
        <w:t>. London: The Stationery Office.</w:t>
      </w:r>
    </w:p>
    <w:p w14:paraId="2AD430D4" w14:textId="77777777" w:rsidR="00807400" w:rsidRDefault="00A0695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 Majesty’s Government UK. (2015b) </w:t>
      </w:r>
      <w:r>
        <w:rPr>
          <w:rFonts w:ascii="Times New Roman" w:eastAsia="Times New Roman" w:hAnsi="Times New Roman" w:cs="Times New Roman"/>
          <w:i/>
          <w:iCs/>
          <w:sz w:val="24"/>
          <w:szCs w:val="24"/>
        </w:rPr>
        <w:t>Counter-Extremism Strategy Cm 9148</w:t>
      </w:r>
      <w:r>
        <w:rPr>
          <w:rFonts w:ascii="Times New Roman" w:eastAsia="Times New Roman" w:hAnsi="Times New Roman" w:cs="Times New Roman"/>
          <w:sz w:val="24"/>
          <w:szCs w:val="24"/>
        </w:rPr>
        <w:t>. London: Home Office</w:t>
      </w:r>
    </w:p>
    <w:p w14:paraId="2961F322" w14:textId="77777777" w:rsidR="00807400" w:rsidRDefault="00A0695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Hess, D.E. (2009) </w:t>
      </w:r>
      <w:r>
        <w:rPr>
          <w:rFonts w:ascii="Times New Roman" w:eastAsia="Times New Roman" w:hAnsi="Times New Roman" w:cs="Times New Roman"/>
          <w:i/>
          <w:iCs/>
          <w:sz w:val="24"/>
          <w:szCs w:val="24"/>
        </w:rPr>
        <w:t xml:space="preserve">Controversy in the Classroom: The Democratic Power of Discussion. </w:t>
      </w:r>
      <w:r>
        <w:rPr>
          <w:rFonts w:ascii="Times New Roman" w:eastAsia="Times New Roman" w:hAnsi="Times New Roman" w:cs="Times New Roman"/>
          <w:sz w:val="24"/>
          <w:szCs w:val="24"/>
        </w:rPr>
        <w:t>London: Routledge.</w:t>
      </w:r>
    </w:p>
    <w:p w14:paraId="2DB92915" w14:textId="5C2D3800" w:rsidR="00807400" w:rsidRDefault="00A0695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James, J. S., and Janmaat, J. G. (2019) </w:t>
      </w:r>
      <w:r>
        <w:rPr>
          <w:rFonts w:ascii="Times New Roman" w:eastAsia="Times New Roman" w:hAnsi="Times New Roman" w:cs="Times New Roman"/>
          <w:i/>
          <w:iCs/>
          <w:sz w:val="24"/>
          <w:szCs w:val="24"/>
        </w:rPr>
        <w:t xml:space="preserve">Civil disorder, domestic terrorism and education policy: the context in England and France </w:t>
      </w:r>
      <w:r>
        <w:rPr>
          <w:rFonts w:ascii="Times New Roman" w:eastAsia="Times New Roman" w:hAnsi="Times New Roman" w:cs="Times New Roman"/>
          <w:sz w:val="24"/>
          <w:szCs w:val="24"/>
        </w:rPr>
        <w:t>Cham: Palgrave Macmillan.</w:t>
      </w:r>
    </w:p>
    <w:p w14:paraId="3369DA47" w14:textId="77777777" w:rsidR="00807400" w:rsidRDefault="00A0695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Jerome, L. and Elwick, A. (2019) </w:t>
      </w:r>
      <w:r w:rsidRPr="00FB5B7A">
        <w:rPr>
          <w:rFonts w:ascii="Times New Roman" w:eastAsia="Times New Roman" w:hAnsi="Times New Roman" w:cs="Times New Roman"/>
          <w:sz w:val="24"/>
          <w:szCs w:val="24"/>
        </w:rPr>
        <w:t>Identifying an educational response to the prevent policy</w:t>
      </w:r>
      <w:r>
        <w:rPr>
          <w:rFonts w:ascii="Times New Roman" w:eastAsia="Times New Roman" w:hAnsi="Times New Roman" w:cs="Times New Roman"/>
          <w:sz w:val="24"/>
          <w:szCs w:val="24"/>
        </w:rPr>
        <w:t xml:space="preserve">. </w:t>
      </w:r>
      <w:r w:rsidRPr="00FB5B7A">
        <w:rPr>
          <w:rFonts w:ascii="Times New Roman" w:eastAsia="Times New Roman" w:hAnsi="Times New Roman" w:cs="Times New Roman"/>
          <w:i/>
          <w:iCs/>
          <w:sz w:val="24"/>
          <w:szCs w:val="24"/>
        </w:rPr>
        <w:t>British Journal of Educational Studies</w:t>
      </w:r>
      <w:r>
        <w:rPr>
          <w:rFonts w:ascii="Times New Roman" w:eastAsia="Times New Roman" w:hAnsi="Times New Roman" w:cs="Times New Roman"/>
          <w:sz w:val="24"/>
          <w:szCs w:val="24"/>
        </w:rPr>
        <w:t>, 67(1), 97–114.</w:t>
      </w:r>
    </w:p>
    <w:p w14:paraId="7EE7B2DA" w14:textId="0E6F4C20" w:rsidR="00807400" w:rsidRDefault="00A0695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Jerome, L. and Elwick, A. (2020) </w:t>
      </w:r>
      <w:r w:rsidRPr="00FB5B7A">
        <w:rPr>
          <w:rFonts w:ascii="Times New Roman" w:eastAsia="Times New Roman" w:hAnsi="Times New Roman" w:cs="Times New Roman"/>
          <w:sz w:val="24"/>
          <w:szCs w:val="24"/>
        </w:rPr>
        <w:t>Teaching about terrorism, extremism and radicalisation: some implications for controversial issues pedagogy</w:t>
      </w:r>
      <w:r>
        <w:rPr>
          <w:rFonts w:ascii="Times New Roman" w:eastAsia="Times New Roman" w:hAnsi="Times New Roman" w:cs="Times New Roman"/>
          <w:sz w:val="24"/>
          <w:szCs w:val="24"/>
        </w:rPr>
        <w:t xml:space="preserve">. </w:t>
      </w:r>
      <w:r w:rsidRPr="00FB5B7A">
        <w:rPr>
          <w:rFonts w:ascii="Times New Roman" w:eastAsia="Times New Roman" w:hAnsi="Times New Roman" w:cs="Times New Roman"/>
          <w:i/>
          <w:iCs/>
          <w:sz w:val="24"/>
          <w:szCs w:val="24"/>
        </w:rPr>
        <w:t>Oxford Review of Education</w:t>
      </w:r>
      <w:r>
        <w:rPr>
          <w:rFonts w:ascii="Times New Roman" w:eastAsia="Times New Roman" w:hAnsi="Times New Roman" w:cs="Times New Roman"/>
          <w:sz w:val="24"/>
          <w:szCs w:val="24"/>
        </w:rPr>
        <w:t>, 46</w:t>
      </w:r>
      <w:r w:rsidR="00FB5B7A">
        <w:rPr>
          <w:rFonts w:ascii="Times New Roman" w:eastAsia="Times New Roman" w:hAnsi="Times New Roman" w:cs="Times New Roman"/>
          <w:sz w:val="24"/>
          <w:szCs w:val="24"/>
        </w:rPr>
        <w:t>(</w:t>
      </w:r>
      <w:r>
        <w:rPr>
          <w:rFonts w:ascii="Times New Roman" w:eastAsia="Times New Roman" w:hAnsi="Times New Roman" w:cs="Times New Roman"/>
          <w:sz w:val="24"/>
          <w:szCs w:val="24"/>
        </w:rPr>
        <w:t>2</w:t>
      </w:r>
      <w:r w:rsidR="00FB5B7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222-237.</w:t>
      </w:r>
    </w:p>
    <w:p w14:paraId="19C545F7" w14:textId="77777777" w:rsidR="00807400" w:rsidRDefault="00A0695C">
      <w:pPr>
        <w:spacing w:line="480" w:lineRule="auto"/>
        <w:ind w:left="720" w:hanging="720"/>
        <w:rPr>
          <w:rFonts w:ascii="Times New Roman" w:eastAsia="Times New Roman" w:hAnsi="Times New Roman" w:cs="Times New Roman"/>
          <w:sz w:val="24"/>
          <w:szCs w:val="24"/>
        </w:rPr>
      </w:pPr>
      <w:bookmarkStart w:id="3" w:name="_heading=h.89bzcf8d2npf" w:colFirst="0" w:colLast="0"/>
      <w:bookmarkEnd w:id="3"/>
      <w:r>
        <w:rPr>
          <w:rFonts w:ascii="Times New Roman" w:eastAsia="Times New Roman" w:hAnsi="Times New Roman" w:cs="Times New Roman"/>
          <w:sz w:val="24"/>
          <w:szCs w:val="24"/>
        </w:rPr>
        <w:t xml:space="preserve">Kundnani, A. and Hayes, B. (2018) </w:t>
      </w:r>
      <w:r>
        <w:rPr>
          <w:rFonts w:ascii="Times New Roman" w:eastAsia="Times New Roman" w:hAnsi="Times New Roman" w:cs="Times New Roman"/>
          <w:i/>
          <w:iCs/>
          <w:sz w:val="24"/>
          <w:szCs w:val="24"/>
        </w:rPr>
        <w:t>The globalisation of countering violent extremism policies: Undermining human rights, instrumentalising civil society</w:t>
      </w:r>
      <w:r>
        <w:rPr>
          <w:rFonts w:ascii="Times New Roman" w:eastAsia="Times New Roman" w:hAnsi="Times New Roman" w:cs="Times New Roman"/>
          <w:sz w:val="24"/>
          <w:szCs w:val="24"/>
        </w:rPr>
        <w:t>. Amsterdam: Transnational Institute.</w:t>
      </w:r>
    </w:p>
    <w:p w14:paraId="4019D671" w14:textId="77777777" w:rsidR="00807400" w:rsidRDefault="00A0695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Long, R. (2017) </w:t>
      </w:r>
      <w:r>
        <w:rPr>
          <w:rFonts w:ascii="Times New Roman" w:eastAsia="Times New Roman" w:hAnsi="Times New Roman" w:cs="Times New Roman"/>
          <w:i/>
          <w:iCs/>
          <w:sz w:val="24"/>
          <w:szCs w:val="24"/>
        </w:rPr>
        <w:t>Counter-extremism policy in English schools [briefing paper CBP 07345]</w:t>
      </w:r>
      <w:r>
        <w:rPr>
          <w:rFonts w:ascii="Times New Roman" w:eastAsia="Times New Roman" w:hAnsi="Times New Roman" w:cs="Times New Roman"/>
          <w:sz w:val="24"/>
          <w:szCs w:val="24"/>
        </w:rPr>
        <w:t xml:space="preserve">. London: House of Commons Library. </w:t>
      </w:r>
    </w:p>
    <w:p w14:paraId="3A44925B" w14:textId="77777777" w:rsidR="00807400" w:rsidRDefault="00A0695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Martin, T. (2021) </w:t>
      </w:r>
      <w:r w:rsidRPr="00FB5B7A">
        <w:rPr>
          <w:rFonts w:ascii="Times New Roman" w:eastAsia="Times New Roman" w:hAnsi="Times New Roman" w:cs="Times New Roman"/>
          <w:sz w:val="24"/>
          <w:szCs w:val="24"/>
        </w:rPr>
        <w:t xml:space="preserve">The radical ambitions of counter-radicalization. </w:t>
      </w:r>
      <w:r w:rsidRPr="00FB5B7A">
        <w:rPr>
          <w:rFonts w:ascii="Times New Roman" w:eastAsia="Times New Roman" w:hAnsi="Times New Roman" w:cs="Times New Roman"/>
          <w:i/>
          <w:iCs/>
          <w:sz w:val="24"/>
          <w:szCs w:val="24"/>
        </w:rPr>
        <w:t>British Journal of Sociology</w:t>
      </w:r>
      <w:r>
        <w:rPr>
          <w:rFonts w:ascii="Times New Roman" w:eastAsia="Times New Roman" w:hAnsi="Times New Roman" w:cs="Times New Roman"/>
          <w:sz w:val="24"/>
          <w:szCs w:val="24"/>
        </w:rPr>
        <w:t>, 72(2): 270-285.</w:t>
      </w:r>
    </w:p>
    <w:p w14:paraId="73AF76B6" w14:textId="3191E81E" w:rsidR="00807400" w:rsidRDefault="00A0695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Moncrieffe, M. and Moncrieffe, A. (2019) </w:t>
      </w:r>
      <w:r w:rsidRPr="00FB5B7A">
        <w:rPr>
          <w:rFonts w:ascii="Times New Roman" w:eastAsia="Times New Roman" w:hAnsi="Times New Roman" w:cs="Times New Roman"/>
          <w:sz w:val="24"/>
          <w:szCs w:val="24"/>
        </w:rPr>
        <w:t>An examination of imagery used to represent fundamental British values and British identity on primary school display boards.</w:t>
      </w:r>
      <w:r>
        <w:rPr>
          <w:rFonts w:ascii="Times New Roman" w:eastAsia="Times New Roman" w:hAnsi="Times New Roman" w:cs="Times New Roman"/>
          <w:sz w:val="24"/>
          <w:szCs w:val="24"/>
        </w:rPr>
        <w:t xml:space="preserve"> </w:t>
      </w:r>
      <w:r w:rsidRPr="00FB5B7A">
        <w:rPr>
          <w:rFonts w:ascii="Times New Roman" w:eastAsia="Times New Roman" w:hAnsi="Times New Roman" w:cs="Times New Roman"/>
          <w:i/>
          <w:iCs/>
          <w:sz w:val="24"/>
          <w:szCs w:val="24"/>
        </w:rPr>
        <w:t>London Review of Education</w:t>
      </w:r>
      <w:r>
        <w:rPr>
          <w:rFonts w:ascii="Times New Roman" w:eastAsia="Times New Roman" w:hAnsi="Times New Roman" w:cs="Times New Roman"/>
          <w:sz w:val="24"/>
          <w:szCs w:val="24"/>
        </w:rPr>
        <w:t>, 17(1)</w:t>
      </w:r>
      <w:r w:rsidR="00FB5B7A">
        <w:rPr>
          <w:rFonts w:ascii="Times New Roman" w:eastAsia="Times New Roman" w:hAnsi="Times New Roman" w:cs="Times New Roman"/>
          <w:sz w:val="24"/>
          <w:szCs w:val="24"/>
        </w:rPr>
        <w:t xml:space="preserve">: </w:t>
      </w:r>
      <w:r w:rsidR="00FB5B7A" w:rsidRPr="00FB5B7A">
        <w:rPr>
          <w:rFonts w:ascii="Times New Roman" w:eastAsia="Times New Roman" w:hAnsi="Times New Roman" w:cs="Times New Roman"/>
          <w:sz w:val="24"/>
          <w:szCs w:val="24"/>
        </w:rPr>
        <w:t>52–69. https://doi.org/10.18546/LRE.17.1.05</w:t>
      </w:r>
    </w:p>
    <w:p w14:paraId="2D6A132A" w14:textId="77777777" w:rsidR="00807400" w:rsidRDefault="00A0695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Office for Standards in Education (Ofsted). (2015) </w:t>
      </w:r>
      <w:r>
        <w:rPr>
          <w:rFonts w:ascii="Times New Roman" w:eastAsia="Times New Roman" w:hAnsi="Times New Roman" w:cs="Times New Roman"/>
          <w:i/>
          <w:iCs/>
          <w:sz w:val="24"/>
          <w:szCs w:val="24"/>
        </w:rPr>
        <w:t>School inspection handbook. Handbook for inspecting schools in England under section 5 of the Education Act 2005</w:t>
      </w:r>
      <w:r>
        <w:rPr>
          <w:rFonts w:ascii="Times New Roman" w:eastAsia="Times New Roman" w:hAnsi="Times New Roman" w:cs="Times New Roman"/>
          <w:sz w:val="24"/>
          <w:szCs w:val="24"/>
        </w:rPr>
        <w:t xml:space="preserve"> (120101). London: Ofsted.</w:t>
      </w:r>
    </w:p>
    <w:p w14:paraId="596DED3A" w14:textId="77777777" w:rsidR="00807400" w:rsidRDefault="00A0695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Ragazzi, F. and Walmsley, J. (2021) </w:t>
      </w:r>
      <w:r>
        <w:rPr>
          <w:rFonts w:ascii="Times New Roman" w:eastAsia="Times New Roman" w:hAnsi="Times New Roman" w:cs="Times New Roman"/>
          <w:i/>
          <w:iCs/>
          <w:sz w:val="24"/>
          <w:szCs w:val="24"/>
        </w:rPr>
        <w:t>Counter-radicalisation in the classroom: Insights from eight grassroots projects in the Council of Europe member states</w:t>
      </w:r>
      <w:r>
        <w:rPr>
          <w:rFonts w:ascii="Times New Roman" w:eastAsia="Times New Roman" w:hAnsi="Times New Roman" w:cs="Times New Roman"/>
          <w:sz w:val="24"/>
          <w:szCs w:val="24"/>
        </w:rPr>
        <w:t>. Strasbourg: Council of Europe.</w:t>
      </w:r>
    </w:p>
    <w:p w14:paraId="6932A209" w14:textId="77777777" w:rsidR="00807400" w:rsidRDefault="00A0695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Schön, D. A. (1983) </w:t>
      </w:r>
      <w:r>
        <w:rPr>
          <w:rFonts w:ascii="Times New Roman" w:eastAsia="Times New Roman" w:hAnsi="Times New Roman" w:cs="Times New Roman"/>
          <w:i/>
          <w:iCs/>
          <w:sz w:val="24"/>
          <w:szCs w:val="24"/>
        </w:rPr>
        <w:t xml:space="preserve">The Reflective Practitioner. </w:t>
      </w:r>
      <w:r>
        <w:rPr>
          <w:rFonts w:ascii="Times New Roman" w:eastAsia="Times New Roman" w:hAnsi="Times New Roman" w:cs="Times New Roman"/>
          <w:sz w:val="24"/>
          <w:szCs w:val="24"/>
        </w:rPr>
        <w:t>Aldershot: Ashgate.</w:t>
      </w:r>
    </w:p>
    <w:p w14:paraId="567F168C" w14:textId="4037BA81" w:rsidR="00807400" w:rsidRDefault="00A0695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Shulman, L. S. (1986) </w:t>
      </w:r>
      <w:r w:rsidRPr="00FB5B7A">
        <w:rPr>
          <w:rFonts w:ascii="Times New Roman" w:eastAsia="Times New Roman" w:hAnsi="Times New Roman" w:cs="Times New Roman"/>
          <w:sz w:val="24"/>
          <w:szCs w:val="24"/>
        </w:rPr>
        <w:t>Those Who Understand: Knowledge Growth in Teaching</w:t>
      </w:r>
      <w:r>
        <w:rPr>
          <w:rFonts w:ascii="Times New Roman" w:eastAsia="Times New Roman" w:hAnsi="Times New Roman" w:cs="Times New Roman"/>
          <w:sz w:val="24"/>
          <w:szCs w:val="24"/>
        </w:rPr>
        <w:t xml:space="preserve">. </w:t>
      </w:r>
      <w:r w:rsidRPr="00FB5B7A">
        <w:rPr>
          <w:rFonts w:ascii="Times New Roman" w:eastAsia="Times New Roman" w:hAnsi="Times New Roman" w:cs="Times New Roman"/>
          <w:i/>
          <w:iCs/>
          <w:sz w:val="24"/>
          <w:szCs w:val="24"/>
        </w:rPr>
        <w:t>Educational Researcher</w:t>
      </w:r>
      <w:r>
        <w:rPr>
          <w:rFonts w:ascii="Times New Roman" w:eastAsia="Times New Roman" w:hAnsi="Times New Roman" w:cs="Times New Roman"/>
          <w:sz w:val="24"/>
          <w:szCs w:val="24"/>
        </w:rPr>
        <w:t>, 15(2)</w:t>
      </w:r>
      <w:r w:rsidR="00FB5B7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4-14.</w:t>
      </w:r>
    </w:p>
    <w:p w14:paraId="6490EC8C" w14:textId="77777777" w:rsidR="00807400" w:rsidRDefault="00A0695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Starkey, H. (2018) </w:t>
      </w:r>
      <w:r>
        <w:rPr>
          <w:rFonts w:ascii="Times New Roman" w:eastAsia="Times New Roman" w:hAnsi="Times New Roman" w:cs="Times New Roman"/>
          <w:i/>
          <w:iCs/>
          <w:sz w:val="24"/>
          <w:szCs w:val="24"/>
        </w:rPr>
        <w:t>Fundamental British Values and citizenship education: tensions between national and global perspectives</w:t>
      </w:r>
      <w:r>
        <w:rPr>
          <w:rFonts w:ascii="Times New Roman" w:eastAsia="Times New Roman" w:hAnsi="Times New Roman" w:cs="Times New Roman"/>
          <w:sz w:val="24"/>
          <w:szCs w:val="24"/>
        </w:rPr>
        <w:t>. Geografiska Annaler: Series B, Human Geography, 100(2): 149-162.</w:t>
      </w:r>
    </w:p>
    <w:p w14:paraId="26CFA215" w14:textId="77777777" w:rsidR="00807400" w:rsidRDefault="00A0695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Taylor, B., Mills, M., Elwick, A., Pillinger, C., Gronland, G., Hayward, J. and Panjwani, F. (2021) </w:t>
      </w:r>
      <w:r>
        <w:rPr>
          <w:rFonts w:ascii="Times New Roman" w:eastAsia="Times New Roman" w:hAnsi="Times New Roman" w:cs="Times New Roman"/>
          <w:i/>
          <w:iCs/>
          <w:sz w:val="24"/>
          <w:szCs w:val="24"/>
        </w:rPr>
        <w:t>Addressing Extremism Through the Classroom. A Research Report from the Centre for Teachers &amp; Teaching Research</w:t>
      </w:r>
      <w:r>
        <w:rPr>
          <w:rFonts w:ascii="Times New Roman" w:eastAsia="Times New Roman" w:hAnsi="Times New Roman" w:cs="Times New Roman"/>
          <w:sz w:val="24"/>
          <w:szCs w:val="24"/>
        </w:rPr>
        <w:t>. London, UK: UCL Institute of Education.</w:t>
      </w:r>
    </w:p>
    <w:p w14:paraId="0689D6B3" w14:textId="77777777" w:rsidR="00807400" w:rsidRDefault="00A0695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Vincent, C. (2019) </w:t>
      </w:r>
      <w:r>
        <w:rPr>
          <w:rFonts w:ascii="Times New Roman" w:eastAsia="Times New Roman" w:hAnsi="Times New Roman" w:cs="Times New Roman"/>
          <w:i/>
          <w:iCs/>
          <w:sz w:val="24"/>
          <w:szCs w:val="24"/>
        </w:rPr>
        <w:t>Tea and the Queen: Fundamental British Values, Schools and Citizenship</w:t>
      </w:r>
      <w:r>
        <w:rPr>
          <w:rFonts w:ascii="Times New Roman" w:eastAsia="Times New Roman" w:hAnsi="Times New Roman" w:cs="Times New Roman"/>
          <w:sz w:val="24"/>
          <w:szCs w:val="24"/>
        </w:rPr>
        <w:t>. Policy Press.</w:t>
      </w:r>
    </w:p>
    <w:sectPr w:rsidR="00807400">
      <w:headerReference w:type="default"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F2964" w14:textId="77777777" w:rsidR="00E71FC4" w:rsidRDefault="00E71FC4">
      <w:r>
        <w:separator/>
      </w:r>
    </w:p>
  </w:endnote>
  <w:endnote w:type="continuationSeparator" w:id="0">
    <w:p w14:paraId="3D2C5397" w14:textId="77777777" w:rsidR="00E71FC4" w:rsidRDefault="00E71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2A3B979-D3E1-40FA-A688-3FA4B275048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2" w:fontKey="{8B1A651F-9EA6-4E0D-9E7A-565830AE0CAF}"/>
    <w:embedBold r:id="rId3" w:fontKey="{ECA04A7B-AB1B-4E86-BA60-9F1E0033C527}"/>
    <w:embedItalic r:id="rId4" w:fontKey="{C2FC57A6-1BE7-45F6-81FA-CCF630389DFC}"/>
  </w:font>
  <w:font w:name="Play">
    <w:charset w:val="00"/>
    <w:family w:val="auto"/>
    <w:pitch w:val="default"/>
    <w:embedRegular r:id="rId5" w:fontKey="{91F3205F-FE60-4343-BAB0-A6FA30B672F0}"/>
  </w:font>
  <w:font w:name="Aptos Display">
    <w:charset w:val="00"/>
    <w:family w:val="swiss"/>
    <w:pitch w:val="variable"/>
    <w:sig w:usb0="20000287" w:usb1="00000003" w:usb2="00000000" w:usb3="00000000" w:csb0="0000019F" w:csb1="00000000"/>
    <w:embedRegular r:id="rId6" w:fontKey="{57E066E8-3F41-4C9A-90AE-4B4523495A22}"/>
  </w:font>
  <w:font w:name="Segoe UI">
    <w:panose1 w:val="020B0502040204020203"/>
    <w:charset w:val="00"/>
    <w:family w:val="swiss"/>
    <w:pitch w:val="variable"/>
    <w:sig w:usb0="E4002EFF" w:usb1="C000E47F" w:usb2="00000009" w:usb3="00000000" w:csb0="000001FF" w:csb1="00000000"/>
    <w:embedRegular r:id="rId7" w:fontKey="{41CED092-600F-45A6-90F1-7DCE6B33E90D}"/>
  </w:font>
  <w:font w:name="Arial">
    <w:panose1 w:val="020B0604020202020204"/>
    <w:charset w:val="00"/>
    <w:family w:val="swiss"/>
    <w:pitch w:val="variable"/>
    <w:sig w:usb0="E0002EFF" w:usb1="C000785B" w:usb2="00000009" w:usb3="00000000" w:csb0="000001FF" w:csb1="00000000"/>
  </w:font>
  <w:font w:name="Adobe Garamond Pr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37E86" w14:textId="77777777" w:rsidR="00807400" w:rsidRDefault="00A0695C">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3F1DD8">
      <w:rPr>
        <w:noProof/>
        <w:color w:val="000000"/>
      </w:rPr>
      <w:t>1</w:t>
    </w:r>
    <w:r>
      <w:rPr>
        <w:color w:val="000000"/>
      </w:rPr>
      <w:fldChar w:fldCharType="end"/>
    </w:r>
  </w:p>
  <w:p w14:paraId="6FF9C899" w14:textId="77777777" w:rsidR="00807400" w:rsidRDefault="00807400">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F1A74" w14:textId="77777777" w:rsidR="00E71FC4" w:rsidRDefault="00E71FC4">
      <w:r>
        <w:separator/>
      </w:r>
    </w:p>
  </w:footnote>
  <w:footnote w:type="continuationSeparator" w:id="0">
    <w:p w14:paraId="3299D4E7" w14:textId="77777777" w:rsidR="00E71FC4" w:rsidRDefault="00E71F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FFDD4" w14:textId="77777777" w:rsidR="00807400" w:rsidRDefault="008074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01DF"/>
    <w:multiLevelType w:val="multilevel"/>
    <w:tmpl w:val="038C85C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63E2C38"/>
    <w:multiLevelType w:val="multilevel"/>
    <w:tmpl w:val="2AEE5C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7340D6D"/>
    <w:multiLevelType w:val="multilevel"/>
    <w:tmpl w:val="5B9E4FE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0E2D0584"/>
    <w:multiLevelType w:val="multilevel"/>
    <w:tmpl w:val="9CDAE0C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10E9691A"/>
    <w:multiLevelType w:val="multilevel"/>
    <w:tmpl w:val="A2C01A6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450682F"/>
    <w:multiLevelType w:val="multilevel"/>
    <w:tmpl w:val="3DB83C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49E1722"/>
    <w:multiLevelType w:val="multilevel"/>
    <w:tmpl w:val="4F025D0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7944E90"/>
    <w:multiLevelType w:val="multilevel"/>
    <w:tmpl w:val="7478AF3E"/>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18547B34"/>
    <w:multiLevelType w:val="multilevel"/>
    <w:tmpl w:val="80D639A6"/>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9" w15:restartNumberingAfterBreak="0">
    <w:nsid w:val="1F3F77E3"/>
    <w:multiLevelType w:val="multilevel"/>
    <w:tmpl w:val="21CAB6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F4851D7"/>
    <w:multiLevelType w:val="multilevel"/>
    <w:tmpl w:val="BFA831E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2BEC316D"/>
    <w:multiLevelType w:val="multilevel"/>
    <w:tmpl w:val="C6D8C09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30846A57"/>
    <w:multiLevelType w:val="multilevel"/>
    <w:tmpl w:val="BA10AF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A656221"/>
    <w:multiLevelType w:val="multilevel"/>
    <w:tmpl w:val="91C005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F8C1521"/>
    <w:multiLevelType w:val="multilevel"/>
    <w:tmpl w:val="AB346C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21D252C"/>
    <w:multiLevelType w:val="multilevel"/>
    <w:tmpl w:val="7D6ACE4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42C07874"/>
    <w:multiLevelType w:val="multilevel"/>
    <w:tmpl w:val="9912F7C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44D67F96"/>
    <w:multiLevelType w:val="multilevel"/>
    <w:tmpl w:val="E2CC6B0C"/>
    <w:lvl w:ilvl="0">
      <w:start w:val="1"/>
      <w:numFmt w:val="bullet"/>
      <w:lvlText w:val="●"/>
      <w:lvlJc w:val="left"/>
      <w:pPr>
        <w:ind w:left="-127" w:hanging="360"/>
      </w:pPr>
      <w:rPr>
        <w:rFonts w:ascii="Noto Sans Symbols" w:eastAsia="Noto Sans Symbols" w:hAnsi="Noto Sans Symbols" w:cs="Noto Sans Symbols"/>
      </w:rPr>
    </w:lvl>
    <w:lvl w:ilvl="1">
      <w:start w:val="1"/>
      <w:numFmt w:val="bullet"/>
      <w:lvlText w:val="o"/>
      <w:lvlJc w:val="left"/>
      <w:pPr>
        <w:ind w:left="593" w:hanging="360"/>
      </w:pPr>
      <w:rPr>
        <w:rFonts w:ascii="Courier New" w:eastAsia="Courier New" w:hAnsi="Courier New" w:cs="Courier New"/>
      </w:rPr>
    </w:lvl>
    <w:lvl w:ilvl="2">
      <w:start w:val="1"/>
      <w:numFmt w:val="bullet"/>
      <w:lvlText w:val="▪"/>
      <w:lvlJc w:val="left"/>
      <w:pPr>
        <w:ind w:left="1313" w:hanging="359"/>
      </w:pPr>
      <w:rPr>
        <w:rFonts w:ascii="Noto Sans Symbols" w:eastAsia="Noto Sans Symbols" w:hAnsi="Noto Sans Symbols" w:cs="Noto Sans Symbols"/>
      </w:rPr>
    </w:lvl>
    <w:lvl w:ilvl="3">
      <w:start w:val="1"/>
      <w:numFmt w:val="bullet"/>
      <w:lvlText w:val="●"/>
      <w:lvlJc w:val="left"/>
      <w:pPr>
        <w:ind w:left="2033" w:hanging="360"/>
      </w:pPr>
      <w:rPr>
        <w:rFonts w:ascii="Noto Sans Symbols" w:eastAsia="Noto Sans Symbols" w:hAnsi="Noto Sans Symbols" w:cs="Noto Sans Symbols"/>
      </w:rPr>
    </w:lvl>
    <w:lvl w:ilvl="4">
      <w:start w:val="1"/>
      <w:numFmt w:val="bullet"/>
      <w:lvlText w:val="o"/>
      <w:lvlJc w:val="left"/>
      <w:pPr>
        <w:ind w:left="2753" w:hanging="360"/>
      </w:pPr>
      <w:rPr>
        <w:rFonts w:ascii="Courier New" w:eastAsia="Courier New" w:hAnsi="Courier New" w:cs="Courier New"/>
      </w:rPr>
    </w:lvl>
    <w:lvl w:ilvl="5">
      <w:start w:val="1"/>
      <w:numFmt w:val="bullet"/>
      <w:lvlText w:val="▪"/>
      <w:lvlJc w:val="left"/>
      <w:pPr>
        <w:ind w:left="3473" w:hanging="360"/>
      </w:pPr>
      <w:rPr>
        <w:rFonts w:ascii="Noto Sans Symbols" w:eastAsia="Noto Sans Symbols" w:hAnsi="Noto Sans Symbols" w:cs="Noto Sans Symbols"/>
      </w:rPr>
    </w:lvl>
    <w:lvl w:ilvl="6">
      <w:start w:val="1"/>
      <w:numFmt w:val="bullet"/>
      <w:lvlText w:val="●"/>
      <w:lvlJc w:val="left"/>
      <w:pPr>
        <w:ind w:left="4193" w:hanging="360"/>
      </w:pPr>
      <w:rPr>
        <w:rFonts w:ascii="Noto Sans Symbols" w:eastAsia="Noto Sans Symbols" w:hAnsi="Noto Sans Symbols" w:cs="Noto Sans Symbols"/>
      </w:rPr>
    </w:lvl>
    <w:lvl w:ilvl="7">
      <w:start w:val="1"/>
      <w:numFmt w:val="bullet"/>
      <w:lvlText w:val="o"/>
      <w:lvlJc w:val="left"/>
      <w:pPr>
        <w:ind w:left="4913" w:hanging="360"/>
      </w:pPr>
      <w:rPr>
        <w:rFonts w:ascii="Courier New" w:eastAsia="Courier New" w:hAnsi="Courier New" w:cs="Courier New"/>
      </w:rPr>
    </w:lvl>
    <w:lvl w:ilvl="8">
      <w:start w:val="1"/>
      <w:numFmt w:val="bullet"/>
      <w:lvlText w:val="▪"/>
      <w:lvlJc w:val="left"/>
      <w:pPr>
        <w:ind w:left="5633" w:hanging="360"/>
      </w:pPr>
      <w:rPr>
        <w:rFonts w:ascii="Noto Sans Symbols" w:eastAsia="Noto Sans Symbols" w:hAnsi="Noto Sans Symbols" w:cs="Noto Sans Symbols"/>
      </w:rPr>
    </w:lvl>
  </w:abstractNum>
  <w:abstractNum w:abstractNumId="18" w15:restartNumberingAfterBreak="0">
    <w:nsid w:val="45A2225E"/>
    <w:multiLevelType w:val="multilevel"/>
    <w:tmpl w:val="617C49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A6663AC"/>
    <w:multiLevelType w:val="multilevel"/>
    <w:tmpl w:val="27067936"/>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20" w15:restartNumberingAfterBreak="0">
    <w:nsid w:val="4C756BBA"/>
    <w:multiLevelType w:val="multilevel"/>
    <w:tmpl w:val="05DC04B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51E74D69"/>
    <w:multiLevelType w:val="multilevel"/>
    <w:tmpl w:val="D9A04E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8F578D4"/>
    <w:multiLevelType w:val="multilevel"/>
    <w:tmpl w:val="5546E2C0"/>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98D4BD9"/>
    <w:multiLevelType w:val="multilevel"/>
    <w:tmpl w:val="26C81F5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5B342211"/>
    <w:multiLevelType w:val="multilevel"/>
    <w:tmpl w:val="2E68B5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CED484E"/>
    <w:multiLevelType w:val="multilevel"/>
    <w:tmpl w:val="3AFEB16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5E424221"/>
    <w:multiLevelType w:val="multilevel"/>
    <w:tmpl w:val="46C8B38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5E954275"/>
    <w:multiLevelType w:val="multilevel"/>
    <w:tmpl w:val="70BA30B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8" w15:restartNumberingAfterBreak="0">
    <w:nsid w:val="5FED5DAB"/>
    <w:multiLevelType w:val="multilevel"/>
    <w:tmpl w:val="4B20A03A"/>
    <w:lvl w:ilvl="0">
      <w:start w:val="1"/>
      <w:numFmt w:val="bullet"/>
      <w:lvlText w:val="●"/>
      <w:lvlJc w:val="left"/>
      <w:pPr>
        <w:ind w:left="0" w:firstLine="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15:restartNumberingAfterBreak="0">
    <w:nsid w:val="68E854A9"/>
    <w:multiLevelType w:val="multilevel"/>
    <w:tmpl w:val="19C26EC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6B8A619C"/>
    <w:multiLevelType w:val="multilevel"/>
    <w:tmpl w:val="E44E012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 w15:restartNumberingAfterBreak="0">
    <w:nsid w:val="7219666C"/>
    <w:multiLevelType w:val="multilevel"/>
    <w:tmpl w:val="FEAE1AD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 w15:restartNumberingAfterBreak="0">
    <w:nsid w:val="73F85463"/>
    <w:multiLevelType w:val="multilevel"/>
    <w:tmpl w:val="4AF29F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67950AC"/>
    <w:multiLevelType w:val="multilevel"/>
    <w:tmpl w:val="3D6E39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8371C4D"/>
    <w:multiLevelType w:val="multilevel"/>
    <w:tmpl w:val="C6589C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22550321">
    <w:abstractNumId w:val="8"/>
  </w:num>
  <w:num w:numId="2" w16cid:durableId="634531635">
    <w:abstractNumId w:val="31"/>
  </w:num>
  <w:num w:numId="3" w16cid:durableId="193856791">
    <w:abstractNumId w:val="28"/>
  </w:num>
  <w:num w:numId="4" w16cid:durableId="294599514">
    <w:abstractNumId w:val="13"/>
  </w:num>
  <w:num w:numId="5" w16cid:durableId="607616842">
    <w:abstractNumId w:val="11"/>
  </w:num>
  <w:num w:numId="6" w16cid:durableId="985621004">
    <w:abstractNumId w:val="12"/>
  </w:num>
  <w:num w:numId="7" w16cid:durableId="1862816600">
    <w:abstractNumId w:val="5"/>
  </w:num>
  <w:num w:numId="8" w16cid:durableId="841048144">
    <w:abstractNumId w:val="17"/>
  </w:num>
  <w:num w:numId="9" w16cid:durableId="1244993626">
    <w:abstractNumId w:val="33"/>
  </w:num>
  <w:num w:numId="10" w16cid:durableId="1907720038">
    <w:abstractNumId w:val="18"/>
  </w:num>
  <w:num w:numId="11" w16cid:durableId="109863545">
    <w:abstractNumId w:val="7"/>
  </w:num>
  <w:num w:numId="12" w16cid:durableId="1330983322">
    <w:abstractNumId w:val="14"/>
  </w:num>
  <w:num w:numId="13" w16cid:durableId="677779887">
    <w:abstractNumId w:val="34"/>
  </w:num>
  <w:num w:numId="14" w16cid:durableId="1810709154">
    <w:abstractNumId w:val="6"/>
  </w:num>
  <w:num w:numId="15" w16cid:durableId="733704063">
    <w:abstractNumId w:val="10"/>
  </w:num>
  <w:num w:numId="16" w16cid:durableId="1556505486">
    <w:abstractNumId w:val="4"/>
  </w:num>
  <w:num w:numId="17" w16cid:durableId="1213149946">
    <w:abstractNumId w:val="3"/>
  </w:num>
  <w:num w:numId="18" w16cid:durableId="1677339759">
    <w:abstractNumId w:val="29"/>
  </w:num>
  <w:num w:numId="19" w16cid:durableId="1979070901">
    <w:abstractNumId w:val="15"/>
  </w:num>
  <w:num w:numId="20" w16cid:durableId="1438714330">
    <w:abstractNumId w:val="16"/>
  </w:num>
  <w:num w:numId="21" w16cid:durableId="106047069">
    <w:abstractNumId w:val="26"/>
  </w:num>
  <w:num w:numId="22" w16cid:durableId="107511621">
    <w:abstractNumId w:val="30"/>
  </w:num>
  <w:num w:numId="23" w16cid:durableId="1724939284">
    <w:abstractNumId w:val="24"/>
  </w:num>
  <w:num w:numId="24" w16cid:durableId="1733887687">
    <w:abstractNumId w:val="32"/>
  </w:num>
  <w:num w:numId="25" w16cid:durableId="575869105">
    <w:abstractNumId w:val="1"/>
  </w:num>
  <w:num w:numId="26" w16cid:durableId="4132054">
    <w:abstractNumId w:val="22"/>
  </w:num>
  <w:num w:numId="27" w16cid:durableId="530844697">
    <w:abstractNumId w:val="19"/>
  </w:num>
  <w:num w:numId="28" w16cid:durableId="219681306">
    <w:abstractNumId w:val="27"/>
  </w:num>
  <w:num w:numId="29" w16cid:durableId="1498958716">
    <w:abstractNumId w:val="9"/>
  </w:num>
  <w:num w:numId="30" w16cid:durableId="1550262586">
    <w:abstractNumId w:val="23"/>
  </w:num>
  <w:num w:numId="31" w16cid:durableId="1553347363">
    <w:abstractNumId w:val="0"/>
  </w:num>
  <w:num w:numId="32" w16cid:durableId="825630828">
    <w:abstractNumId w:val="2"/>
  </w:num>
  <w:num w:numId="33" w16cid:durableId="1529291624">
    <w:abstractNumId w:val="21"/>
  </w:num>
  <w:num w:numId="34" w16cid:durableId="425349629">
    <w:abstractNumId w:val="25"/>
  </w:num>
  <w:num w:numId="35" w16cid:durableId="16859397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400"/>
    <w:rsid w:val="002A656E"/>
    <w:rsid w:val="003F1DD8"/>
    <w:rsid w:val="00541B05"/>
    <w:rsid w:val="005963C9"/>
    <w:rsid w:val="00807400"/>
    <w:rsid w:val="00915289"/>
    <w:rsid w:val="00A0695C"/>
    <w:rsid w:val="00DD01E0"/>
    <w:rsid w:val="00E71FC4"/>
    <w:rsid w:val="00FB5B7A"/>
    <w:rsid w:val="00FD65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B8DA1"/>
  <w15:docId w15:val="{B747D744-2D7F-4663-A6DF-44B19CA7C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unhideWhenUsed/>
    <w:qFormat/>
    <w:rsid w:val="00990D9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990D9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990D9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990D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90D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90D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90D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990D94"/>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990D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990D94"/>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990D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990D94"/>
    <w:rPr>
      <w:rFonts w:eastAsiaTheme="majorEastAsia" w:cstheme="majorBidi"/>
      <w:color w:val="272727" w:themeColor="text1" w:themeTint="D8"/>
    </w:rPr>
  </w:style>
  <w:style w:type="character" w:customStyle="1" w:styleId="TitleChar">
    <w:name w:val="Title Char"/>
    <w:basedOn w:val="DefaultParagraphFont"/>
    <w:link w:val="Title"/>
    <w:uiPriority w:val="10"/>
    <w:rsid w:val="00990D94"/>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990D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0D9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90D94"/>
    <w:rPr>
      <w:i/>
      <w:iCs/>
      <w:color w:val="404040" w:themeColor="text1" w:themeTint="BF"/>
    </w:rPr>
  </w:style>
  <w:style w:type="paragraph" w:styleId="ListParagraph">
    <w:name w:val="List Paragraph"/>
    <w:basedOn w:val="Normal"/>
    <w:uiPriority w:val="34"/>
    <w:qFormat/>
    <w:rsid w:val="00990D94"/>
    <w:pPr>
      <w:ind w:left="720"/>
      <w:contextualSpacing/>
    </w:pPr>
  </w:style>
  <w:style w:type="character" w:styleId="IntenseEmphasis">
    <w:name w:val="Intense Emphasis"/>
    <w:basedOn w:val="DefaultParagraphFont"/>
    <w:uiPriority w:val="21"/>
    <w:qFormat/>
    <w:rsid w:val="00990D94"/>
    <w:rPr>
      <w:i/>
      <w:iCs/>
      <w:color w:val="0F4761" w:themeColor="accent1" w:themeShade="BF"/>
    </w:rPr>
  </w:style>
  <w:style w:type="paragraph" w:styleId="IntenseQuote">
    <w:name w:val="Intense Quote"/>
    <w:basedOn w:val="Normal"/>
    <w:next w:val="Normal"/>
    <w:link w:val="IntenseQuoteChar"/>
    <w:uiPriority w:val="30"/>
    <w:qFormat/>
    <w:rsid w:val="00990D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0D94"/>
    <w:rPr>
      <w:i/>
      <w:iCs/>
      <w:color w:val="0F4761" w:themeColor="accent1" w:themeShade="BF"/>
    </w:rPr>
  </w:style>
  <w:style w:type="character" w:styleId="IntenseReference">
    <w:name w:val="Intense Reference"/>
    <w:basedOn w:val="DefaultParagraphFont"/>
    <w:uiPriority w:val="32"/>
    <w:qFormat/>
    <w:rsid w:val="00990D94"/>
    <w:rPr>
      <w:b/>
      <w:bCs/>
      <w:smallCaps/>
      <w:color w:val="0F4761" w:themeColor="accent1" w:themeShade="BF"/>
      <w:spacing w:val="5"/>
    </w:rPr>
  </w:style>
  <w:style w:type="paragraph" w:styleId="FootnoteText">
    <w:name w:val="footnote text"/>
    <w:basedOn w:val="Normal"/>
    <w:link w:val="FootnoteTextChar"/>
    <w:uiPriority w:val="99"/>
    <w:semiHidden/>
    <w:unhideWhenUsed/>
    <w:rsid w:val="00720751"/>
    <w:rPr>
      <w:sz w:val="20"/>
      <w:szCs w:val="20"/>
    </w:rPr>
  </w:style>
  <w:style w:type="character" w:customStyle="1" w:styleId="FootnoteTextChar">
    <w:name w:val="Footnote Text Char"/>
    <w:basedOn w:val="DefaultParagraphFont"/>
    <w:link w:val="FootnoteText"/>
    <w:uiPriority w:val="99"/>
    <w:semiHidden/>
    <w:rsid w:val="00720751"/>
    <w:rPr>
      <w:sz w:val="20"/>
      <w:szCs w:val="20"/>
    </w:rPr>
  </w:style>
  <w:style w:type="character" w:styleId="FootnoteReference">
    <w:name w:val="footnote reference"/>
    <w:basedOn w:val="DefaultParagraphFont"/>
    <w:uiPriority w:val="99"/>
    <w:semiHidden/>
    <w:unhideWhenUsed/>
    <w:rsid w:val="00720751"/>
    <w:rPr>
      <w:vertAlign w:val="superscript"/>
    </w:rPr>
  </w:style>
  <w:style w:type="table" w:styleId="TableGrid">
    <w:name w:val="Table Grid"/>
    <w:basedOn w:val="TableNormal"/>
    <w:uiPriority w:val="39"/>
    <w:rsid w:val="00E30B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30BA1"/>
    <w:rPr>
      <w:sz w:val="16"/>
      <w:szCs w:val="16"/>
    </w:rPr>
  </w:style>
  <w:style w:type="paragraph" w:styleId="CommentText">
    <w:name w:val="annotation text"/>
    <w:basedOn w:val="Normal"/>
    <w:link w:val="CommentTextChar"/>
    <w:uiPriority w:val="99"/>
    <w:unhideWhenUsed/>
    <w:rsid w:val="00E30BA1"/>
    <w:pPr>
      <w:spacing w:after="160"/>
    </w:pPr>
    <w:rPr>
      <w:sz w:val="20"/>
      <w:szCs w:val="20"/>
    </w:rPr>
  </w:style>
  <w:style w:type="character" w:customStyle="1" w:styleId="CommentTextChar">
    <w:name w:val="Comment Text Char"/>
    <w:basedOn w:val="DefaultParagraphFont"/>
    <w:link w:val="CommentText"/>
    <w:uiPriority w:val="99"/>
    <w:rsid w:val="00E30BA1"/>
    <w:rPr>
      <w:kern w:val="0"/>
      <w:sz w:val="20"/>
      <w:szCs w:val="20"/>
    </w:rPr>
  </w:style>
  <w:style w:type="character" w:styleId="Hyperlink">
    <w:name w:val="Hyperlink"/>
    <w:basedOn w:val="DefaultParagraphFont"/>
    <w:uiPriority w:val="99"/>
    <w:unhideWhenUsed/>
    <w:rsid w:val="00DA4148"/>
    <w:rPr>
      <w:color w:val="467886" w:themeColor="hyperlink"/>
      <w:u w:val="single"/>
    </w:rPr>
  </w:style>
  <w:style w:type="character" w:styleId="UnresolvedMention">
    <w:name w:val="Unresolved Mention"/>
    <w:basedOn w:val="DefaultParagraphFont"/>
    <w:uiPriority w:val="99"/>
    <w:semiHidden/>
    <w:unhideWhenUsed/>
    <w:rsid w:val="00DA414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8C1168"/>
    <w:rPr>
      <w:b/>
      <w:bCs/>
    </w:rPr>
  </w:style>
  <w:style w:type="character" w:customStyle="1" w:styleId="CommentSubjectChar">
    <w:name w:val="Comment Subject Char"/>
    <w:basedOn w:val="CommentTextChar"/>
    <w:link w:val="CommentSubject"/>
    <w:uiPriority w:val="99"/>
    <w:semiHidden/>
    <w:rsid w:val="008C1168"/>
    <w:rPr>
      <w:b/>
      <w:bCs/>
      <w:kern w:val="0"/>
      <w:sz w:val="20"/>
      <w:szCs w:val="20"/>
    </w:rPr>
  </w:style>
  <w:style w:type="paragraph" w:styleId="BalloonText">
    <w:name w:val="Balloon Text"/>
    <w:basedOn w:val="Normal"/>
    <w:link w:val="BalloonTextChar"/>
    <w:uiPriority w:val="99"/>
    <w:semiHidden/>
    <w:unhideWhenUsed/>
    <w:rsid w:val="008C11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1168"/>
    <w:rPr>
      <w:rFonts w:ascii="Segoe UI" w:hAnsi="Segoe UI" w:cs="Segoe UI"/>
      <w:kern w:val="0"/>
      <w:sz w:val="18"/>
      <w:szCs w:val="18"/>
    </w:rPr>
  </w:style>
  <w:style w:type="paragraph" w:styleId="Revision">
    <w:name w:val="Revision"/>
    <w:hidden/>
    <w:uiPriority w:val="99"/>
    <w:semiHidden/>
    <w:rsid w:val="008C1168"/>
  </w:style>
  <w:style w:type="character" w:customStyle="1" w:styleId="cf01">
    <w:name w:val="cf01"/>
    <w:basedOn w:val="DefaultParagraphFont"/>
    <w:rsid w:val="008C1168"/>
    <w:rPr>
      <w:rFonts w:ascii="Segoe UI" w:hAnsi="Segoe UI" w:cs="Segoe UI" w:hint="default"/>
      <w:sz w:val="18"/>
      <w:szCs w:val="18"/>
    </w:rPr>
  </w:style>
  <w:style w:type="paragraph" w:styleId="TOCHeading">
    <w:name w:val="TOC Heading"/>
    <w:basedOn w:val="Heading1"/>
    <w:next w:val="Normal"/>
    <w:uiPriority w:val="39"/>
    <w:unhideWhenUsed/>
    <w:qFormat/>
    <w:rsid w:val="008C1168"/>
    <w:pPr>
      <w:spacing w:before="240" w:after="0" w:line="259" w:lineRule="auto"/>
      <w:outlineLvl w:val="9"/>
    </w:pPr>
    <w:rPr>
      <w:rFonts w:ascii="Arial" w:hAnsi="Arial"/>
      <w:sz w:val="32"/>
      <w:szCs w:val="32"/>
      <w:lang w:val="en-US"/>
    </w:rPr>
  </w:style>
  <w:style w:type="paragraph" w:styleId="TOC1">
    <w:name w:val="toc 1"/>
    <w:basedOn w:val="Normal"/>
    <w:next w:val="Normal"/>
    <w:autoRedefine/>
    <w:uiPriority w:val="39"/>
    <w:unhideWhenUsed/>
    <w:rsid w:val="008C1168"/>
    <w:pPr>
      <w:spacing w:after="100" w:line="259" w:lineRule="auto"/>
    </w:pPr>
  </w:style>
  <w:style w:type="paragraph" w:styleId="TOC2">
    <w:name w:val="toc 2"/>
    <w:basedOn w:val="Normal"/>
    <w:next w:val="Normal"/>
    <w:autoRedefine/>
    <w:uiPriority w:val="39"/>
    <w:unhideWhenUsed/>
    <w:rsid w:val="008C1168"/>
    <w:pPr>
      <w:spacing w:after="100" w:line="259" w:lineRule="auto"/>
      <w:ind w:left="220"/>
    </w:pPr>
  </w:style>
  <w:style w:type="paragraph" w:styleId="TOC3">
    <w:name w:val="toc 3"/>
    <w:basedOn w:val="Normal"/>
    <w:next w:val="Normal"/>
    <w:autoRedefine/>
    <w:uiPriority w:val="39"/>
    <w:unhideWhenUsed/>
    <w:rsid w:val="008C1168"/>
    <w:pPr>
      <w:spacing w:after="100" w:line="259" w:lineRule="auto"/>
      <w:ind w:left="440"/>
    </w:pPr>
  </w:style>
  <w:style w:type="paragraph" w:styleId="Bibliography">
    <w:name w:val="Bibliography"/>
    <w:basedOn w:val="Normal"/>
    <w:next w:val="Normal"/>
    <w:uiPriority w:val="37"/>
    <w:unhideWhenUsed/>
    <w:rsid w:val="008C1168"/>
    <w:pPr>
      <w:spacing w:after="160" w:line="259" w:lineRule="auto"/>
    </w:pPr>
  </w:style>
  <w:style w:type="character" w:customStyle="1" w:styleId="TitleChar1">
    <w:name w:val="Title Char1"/>
    <w:basedOn w:val="DefaultParagraphFont"/>
    <w:uiPriority w:val="10"/>
    <w:rsid w:val="00A448B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A448B5"/>
    <w:rPr>
      <w:rFonts w:eastAsiaTheme="majorEastAsia" w:cstheme="majorBidi"/>
      <w:color w:val="595959" w:themeColor="text1" w:themeTint="A6"/>
      <w:spacing w:val="15"/>
      <w:sz w:val="28"/>
      <w:szCs w:val="28"/>
    </w:rPr>
  </w:style>
  <w:style w:type="character" w:customStyle="1" w:styleId="QuoteChar1">
    <w:name w:val="Quote Char1"/>
    <w:basedOn w:val="DefaultParagraphFont"/>
    <w:uiPriority w:val="29"/>
    <w:rsid w:val="00A448B5"/>
    <w:rPr>
      <w:i/>
      <w:iCs/>
      <w:color w:val="404040" w:themeColor="text1" w:themeTint="BF"/>
      <w:sz w:val="22"/>
      <w:szCs w:val="22"/>
    </w:rPr>
  </w:style>
  <w:style w:type="character" w:customStyle="1" w:styleId="IntenseQuoteChar1">
    <w:name w:val="Intense Quote Char1"/>
    <w:basedOn w:val="DefaultParagraphFont"/>
    <w:uiPriority w:val="30"/>
    <w:rsid w:val="00A448B5"/>
    <w:rPr>
      <w:i/>
      <w:iCs/>
      <w:color w:val="0F4761" w:themeColor="accent1" w:themeShade="BF"/>
      <w:sz w:val="22"/>
      <w:szCs w:val="22"/>
    </w:rPr>
  </w:style>
  <w:style w:type="character" w:styleId="PlaceholderText">
    <w:name w:val="Placeholder Text"/>
    <w:basedOn w:val="DefaultParagraphFont"/>
    <w:uiPriority w:val="99"/>
    <w:semiHidden/>
    <w:rsid w:val="00A448B5"/>
    <w:rPr>
      <w:color w:val="666666"/>
    </w:rPr>
  </w:style>
  <w:style w:type="paragraph" w:customStyle="1" w:styleId="Default">
    <w:name w:val="Default"/>
    <w:rsid w:val="00A448B5"/>
    <w:pPr>
      <w:autoSpaceDE w:val="0"/>
      <w:autoSpaceDN w:val="0"/>
      <w:adjustRightInd w:val="0"/>
    </w:pPr>
    <w:rPr>
      <w:rFonts w:ascii="Adobe Garamond Pro" w:hAnsi="Adobe Garamond Pro" w:cs="Adobe Garamond Pro"/>
      <w:color w:val="000000"/>
      <w:sz w:val="24"/>
      <w:szCs w:val="24"/>
    </w:rPr>
  </w:style>
  <w:style w:type="paragraph" w:customStyle="1" w:styleId="Pa21">
    <w:name w:val="Pa21"/>
    <w:basedOn w:val="Default"/>
    <w:next w:val="Default"/>
    <w:uiPriority w:val="99"/>
    <w:rsid w:val="00A448B5"/>
    <w:pPr>
      <w:spacing w:line="231" w:lineRule="atLeast"/>
    </w:pPr>
    <w:rPr>
      <w:rFonts w:cstheme="minorBidi"/>
      <w:color w:val="auto"/>
    </w:rPr>
  </w:style>
  <w:style w:type="paragraph" w:styleId="Header">
    <w:name w:val="header"/>
    <w:basedOn w:val="Normal"/>
    <w:link w:val="HeaderChar"/>
    <w:uiPriority w:val="99"/>
    <w:unhideWhenUsed/>
    <w:rsid w:val="00A448B5"/>
    <w:pPr>
      <w:tabs>
        <w:tab w:val="center" w:pos="4513"/>
        <w:tab w:val="right" w:pos="9026"/>
      </w:tabs>
    </w:pPr>
    <w:rPr>
      <w:rFonts w:eastAsiaTheme="minorEastAsia"/>
      <w:lang w:val="en-US" w:eastAsia="ja-JP"/>
    </w:rPr>
  </w:style>
  <w:style w:type="character" w:customStyle="1" w:styleId="HeaderChar">
    <w:name w:val="Header Char"/>
    <w:basedOn w:val="DefaultParagraphFont"/>
    <w:link w:val="Header"/>
    <w:uiPriority w:val="99"/>
    <w:rsid w:val="00A448B5"/>
    <w:rPr>
      <w:rFonts w:eastAsiaTheme="minorEastAsia"/>
      <w:kern w:val="0"/>
      <w:lang w:val="en-US" w:eastAsia="ja-JP"/>
    </w:rPr>
  </w:style>
  <w:style w:type="paragraph" w:styleId="Footer">
    <w:name w:val="footer"/>
    <w:basedOn w:val="Normal"/>
    <w:link w:val="FooterChar"/>
    <w:uiPriority w:val="99"/>
    <w:unhideWhenUsed/>
    <w:rsid w:val="00A448B5"/>
    <w:pPr>
      <w:tabs>
        <w:tab w:val="center" w:pos="4513"/>
        <w:tab w:val="right" w:pos="9026"/>
      </w:tabs>
    </w:pPr>
    <w:rPr>
      <w:rFonts w:eastAsiaTheme="minorEastAsia"/>
      <w:lang w:val="en-US" w:eastAsia="ja-JP"/>
    </w:rPr>
  </w:style>
  <w:style w:type="character" w:customStyle="1" w:styleId="FooterChar">
    <w:name w:val="Footer Char"/>
    <w:basedOn w:val="DefaultParagraphFont"/>
    <w:link w:val="Footer"/>
    <w:uiPriority w:val="99"/>
    <w:rsid w:val="00A448B5"/>
    <w:rPr>
      <w:rFonts w:eastAsiaTheme="minorEastAsia"/>
      <w:kern w:val="0"/>
      <w:lang w:val="en-US" w:eastAsia="ja-JP"/>
    </w:rPr>
  </w:style>
  <w:style w:type="paragraph" w:customStyle="1" w:styleId="paragraph">
    <w:name w:val="paragraph"/>
    <w:basedOn w:val="Normal"/>
    <w:rsid w:val="00A448B5"/>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A448B5"/>
  </w:style>
  <w:style w:type="character" w:customStyle="1" w:styleId="contentcontrolboundarysink">
    <w:name w:val="contentcontrolboundarysink"/>
    <w:basedOn w:val="DefaultParagraphFont"/>
    <w:rsid w:val="00A448B5"/>
  </w:style>
  <w:style w:type="character" w:customStyle="1" w:styleId="eop">
    <w:name w:val="eop"/>
    <w:basedOn w:val="DefaultParagraphFont"/>
    <w:rsid w:val="00A448B5"/>
  </w:style>
  <w:style w:type="character" w:customStyle="1" w:styleId="wacimagecontainer">
    <w:name w:val="wacimagecontainer"/>
    <w:basedOn w:val="DefaultParagraphFont"/>
    <w:rsid w:val="00A448B5"/>
  </w:style>
  <w:style w:type="character" w:styleId="FollowedHyperlink">
    <w:name w:val="FollowedHyperlink"/>
    <w:basedOn w:val="DefaultParagraphFont"/>
    <w:uiPriority w:val="99"/>
    <w:semiHidden/>
    <w:unhideWhenUsed/>
    <w:rsid w:val="00A448B5"/>
    <w:rPr>
      <w:color w:val="96607D" w:themeColor="followedHyperlink"/>
      <w:u w:val="single"/>
    </w:rPr>
  </w:style>
  <w:style w:type="table" w:customStyle="1" w:styleId="TableGrid1">
    <w:name w:val="Table Grid1"/>
    <w:basedOn w:val="TableNormal"/>
    <w:next w:val="TableGrid"/>
    <w:uiPriority w:val="39"/>
    <w:rsid w:val="003A3D0D"/>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rPr>
      <w:sz w:val="24"/>
      <w:szCs w:val="24"/>
    </w:rPr>
    <w:tblPr>
      <w:tblStyleRowBandSize w:val="1"/>
      <w:tblStyleColBandSize w:val="1"/>
    </w:tblPr>
  </w:style>
  <w:style w:type="table" w:customStyle="1" w:styleId="a4">
    <w:basedOn w:val="TableNormal"/>
    <w:rPr>
      <w:sz w:val="24"/>
      <w:szCs w:val="24"/>
    </w:rPr>
    <w:tblPr>
      <w:tblStyleRowBandSize w:val="1"/>
      <w:tblStyleColBandSize w:val="1"/>
    </w:tblPr>
  </w:style>
  <w:style w:type="table" w:customStyle="1" w:styleId="a5">
    <w:basedOn w:val="TableNormal"/>
    <w:rPr>
      <w:sz w:val="24"/>
      <w:szCs w:val="24"/>
    </w:rPr>
    <w:tblPr>
      <w:tblStyleRowBandSize w:val="1"/>
      <w:tblStyleColBandSize w:val="1"/>
    </w:tblPr>
  </w:style>
  <w:style w:type="table" w:customStyle="1" w:styleId="a6">
    <w:basedOn w:val="TableNormal"/>
    <w:rPr>
      <w:sz w:val="24"/>
      <w:szCs w:val="24"/>
    </w:rPr>
    <w:tblPr>
      <w:tblStyleRowBandSize w:val="1"/>
      <w:tblStyleColBandSize w:val="1"/>
    </w:tblPr>
  </w:style>
  <w:style w:type="table" w:customStyle="1" w:styleId="a7">
    <w:basedOn w:val="TableNormal"/>
    <w:rPr>
      <w:sz w:val="24"/>
      <w:szCs w:val="24"/>
    </w:rPr>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paragraph" w:styleId="Subtitle">
    <w:name w:val="Subtitle"/>
    <w:basedOn w:val="Normal"/>
    <w:next w:val="Normal"/>
    <w:link w:val="SubtitleChar"/>
    <w:uiPriority w:val="11"/>
    <w:qFormat/>
    <w:pPr>
      <w:spacing w:after="160"/>
    </w:pPr>
    <w:rPr>
      <w:color w:val="595959"/>
      <w:sz w:val="28"/>
      <w:szCs w:val="28"/>
    </w:r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rPr>
      <w:sz w:val="24"/>
      <w:szCs w:val="24"/>
    </w:rPr>
    <w:tblPr>
      <w:tblStyleRowBandSize w:val="1"/>
      <w:tblStyleColBandSize w:val="1"/>
    </w:tblPr>
  </w:style>
  <w:style w:type="table" w:customStyle="1" w:styleId="afa">
    <w:basedOn w:val="TableNormal"/>
    <w:rPr>
      <w:sz w:val="24"/>
      <w:szCs w:val="24"/>
    </w:rPr>
    <w:tblPr>
      <w:tblStyleRowBandSize w:val="1"/>
      <w:tblStyleColBandSize w:val="1"/>
    </w:tblPr>
  </w:style>
  <w:style w:type="table" w:customStyle="1" w:styleId="afb">
    <w:basedOn w:val="TableNormal"/>
    <w:rPr>
      <w:sz w:val="24"/>
      <w:szCs w:val="24"/>
    </w:rPr>
    <w:tblPr>
      <w:tblStyleRowBandSize w:val="1"/>
      <w:tblStyleColBandSize w:val="1"/>
    </w:tblPr>
  </w:style>
  <w:style w:type="table" w:customStyle="1" w:styleId="afc">
    <w:basedOn w:val="TableNormal"/>
    <w:rPr>
      <w:sz w:val="24"/>
      <w:szCs w:val="24"/>
    </w:rPr>
    <w:tblPr>
      <w:tblStyleRowBandSize w:val="1"/>
      <w:tblStyleColBandSize w:val="1"/>
    </w:tblPr>
  </w:style>
  <w:style w:type="table" w:customStyle="1" w:styleId="afd">
    <w:basedOn w:val="TableNormal"/>
    <w:rPr>
      <w:sz w:val="24"/>
      <w:szCs w:val="24"/>
    </w:rPr>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Pr>
  </w:style>
  <w:style w:type="table" w:customStyle="1" w:styleId="aff9">
    <w:basedOn w:val="TableNormal"/>
    <w:tblPr>
      <w:tblStyleRowBandSize w:val="1"/>
      <w:tblStyleColBandSize w:val="1"/>
    </w:tblPr>
  </w:style>
  <w:style w:type="table" w:customStyle="1" w:styleId="aff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uF5Z0+Hj2IJdsNUOSzmrYQyf5Q==">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5868</Words>
  <Characters>33453</Characters>
  <Application>Microsoft Office Word</Application>
  <DocSecurity>0</DocSecurity>
  <Lines>278</Lines>
  <Paragraphs>78</Paragraphs>
  <ScaleCrop>false</ScaleCrop>
  <Company/>
  <LinksUpToDate>false</LinksUpToDate>
  <CharactersWithSpaces>39243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Jerome</dc:creator>
  <cp:lastModifiedBy>Lee Jerome</cp:lastModifiedBy>
  <cp:revision>2</cp:revision>
  <dcterms:created xsi:type="dcterms:W3CDTF">2026-05-20T11:54:00Z</dcterms:created>
  <dcterms:modified xsi:type="dcterms:W3CDTF">2026-05-20T11:54:00Z</dcterms:modified>
</cp:coreProperties>
</file>